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right"/>
      </w:pPr>
      <w:r>
        <w:drawing>
          <wp:inline xmlns:a="http://schemas.openxmlformats.org/drawingml/2006/main" xmlns:pic="http://schemas.openxmlformats.org/drawingml/2006/picture">
            <wp:extent cx="1152000" cy="283569"/>
            <wp:docPr id="1" name="Picture 1"/>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152000" cy="283569"/>
                    </a:xfrm>
                    <a:prstGeom prst="rect"/>
                  </pic:spPr>
                </pic:pic>
              </a:graphicData>
            </a:graphic>
          </wp:inline>
        </w:drawing>
      </w:r>
    </w:p>
    <w:p>
      <w:pPr>
        <w:spacing w:before="0" w:after="120"/>
        <w:shd w:val="clear" w:color="auto" w:fill="ECEEF0"/>
      </w:pPr>
      <w:r>
        <w:rPr>
          <w:rFonts w:ascii="Arial" w:hAnsi="Arial"/>
          <w:color w:val="0F1115"/>
          <w:sz w:val="21"/>
        </w:rPr>
        <w:t>Example. Hollins Software and everyone in it are made up. Billing and Payments Program, as of 22 Oct 2026. To start your own, open the blank charter.</w:t>
      </w:r>
    </w:p>
    <w:p>
      <w:pPr>
        <w:keepNext/>
        <w:spacing w:before="0" w:after="0"/>
      </w:pPr>
      <w:r>
        <w:rPr>
          <w:rFonts w:ascii="Arial" w:hAnsi="Arial"/>
          <w:b/>
          <w:color w:val="0F1115"/>
          <w:sz w:val="40"/>
        </w:rPr>
        <w:t>Program charter</w:t>
      </w:r>
    </w:p>
    <w:p>
      <w:pPr>
        <w:keepNext/>
        <w:spacing w:before="0" w:after="120"/>
      </w:pPr>
      <w:r>
        <w:rPr>
          <w:rFonts w:ascii="Arial" w:hAnsi="Arial"/>
          <w:color w:val="0F1115"/>
          <w:sz w:val="30"/>
        </w:rPr>
        <w:t>Billing and Payments Program</w:t>
      </w:r>
    </w:p>
    <w:p>
      <w:pPr>
        <w:spacing w:before="0" w:after="160"/>
      </w:pPr>
      <w:r>
        <w:rPr>
          <w:rFonts w:ascii="Arial" w:hAnsi="Arial"/>
          <w:color w:val="0F1115"/>
          <w:sz w:val="21"/>
        </w:rPr>
        <w:t>How to fill it in, and the nine questions to ask before anyone signs, are on the last pages.</w:t>
      </w:r>
    </w:p>
    <w:tbl>
      <w:tblPr>
        <w:tblStyle w:val="TableGrid"/>
        <w:tblW w:type="dxa" w:w="9639"/>
        <w:jc w:val="left"/>
        <w:tblLayout w:type="fixed"/>
        <w:tblLook w:firstColumn="1" w:firstRow="1" w:lastColumn="0" w:lastRow="0" w:noHBand="0" w:noVBand="1" w:val="04A0"/>
        <w:tblBorders>
          <w:top w:val="single" w:sz="4" w:space="0" w:color="BFC3C8"/>
          <w:left w:val="nil"/>
          <w:bottom w:val="single" w:sz="4" w:space="0" w:color="BFC3C8"/>
          <w:right w:val="nil"/>
          <w:insideH w:val="nil"/>
          <w:insideV w:val="nil"/>
        </w:tblBorders>
      </w:tblPr>
      <w:tblGrid>
        <w:gridCol w:w="2835"/>
        <w:gridCol w:w="6803"/>
      </w:tblGrid>
      <w:tr>
        <w:trPr>
          <w:cantSplit/>
        </w:trPr>
        <w:tc>
          <w:tcPr>
            <w:tcW w:type="dxa" w:w="2835"/>
          </w:tcPr>
          <w:p>
            <w:pPr>
              <w:spacing w:before="40" w:after="40"/>
            </w:pPr>
            <w:r>
              <w:rPr>
                <w:rFonts w:ascii="Arial" w:hAnsi="Arial"/>
                <w:b/>
                <w:color w:val="0F1115"/>
                <w:sz w:val="21"/>
              </w:rPr>
              <w:t>Sits under</w:t>
            </w:r>
          </w:p>
        </w:tc>
        <w:tc>
          <w:tcPr>
            <w:tcW w:type="dxa" w:w="6803"/>
          </w:tcPr>
          <w:p>
            <w:pPr>
              <w:spacing w:before="40" w:after="40"/>
            </w:pPr>
            <w:r>
              <w:rPr>
                <w:rFonts w:ascii="Arial" w:hAnsi="Arial"/>
                <w:color w:val="0F1115"/>
                <w:sz w:val="21"/>
              </w:rPr>
              <w:t>Portfolio</w:t>
            </w:r>
          </w:p>
        </w:tc>
      </w:tr>
      <w:tr>
        <w:trPr>
          <w:cantSplit/>
        </w:trPr>
        <w:tc>
          <w:tcPr>
            <w:tcW w:type="dxa" w:w="2835"/>
          </w:tcPr>
          <w:p>
            <w:pPr>
              <w:spacing w:before="40" w:after="40"/>
            </w:pPr>
            <w:r>
              <w:rPr>
                <w:rFonts w:ascii="Arial" w:hAnsi="Arial"/>
                <w:b/>
                <w:color w:val="0F1115"/>
                <w:sz w:val="21"/>
              </w:rPr>
              <w:t>Level</w:t>
            </w:r>
          </w:p>
        </w:tc>
        <w:tc>
          <w:tcPr>
            <w:tcW w:type="dxa" w:w="6803"/>
          </w:tcPr>
          <w:p>
            <w:pPr>
              <w:spacing w:before="40" w:after="40"/>
            </w:pPr>
            <w:r>
              <w:rPr>
                <w:rFonts w:ascii="Arial" w:hAnsi="Arial"/>
                <w:color w:val="0F1115"/>
                <w:sz w:val="21"/>
              </w:rPr>
              <w:t>Program</w:t>
            </w:r>
          </w:p>
        </w:tc>
      </w:tr>
      <w:tr>
        <w:trPr>
          <w:cantSplit/>
        </w:trPr>
        <w:tc>
          <w:tcPr>
            <w:tcW w:type="dxa" w:w="2835"/>
          </w:tcPr>
          <w:p>
            <w:pPr>
              <w:spacing w:before="40" w:after="40"/>
            </w:pPr>
            <w:r>
              <w:rPr>
                <w:rFonts w:ascii="Arial" w:hAnsi="Arial"/>
                <w:b/>
                <w:color w:val="0F1115"/>
                <w:sz w:val="21"/>
              </w:rPr>
              <w:t>Objective</w:t>
            </w:r>
          </w:p>
        </w:tc>
        <w:tc>
          <w:tcPr>
            <w:tcW w:type="dxa" w:w="6803"/>
          </w:tcPr>
          <w:p>
            <w:pPr>
              <w:spacing w:before="40" w:after="40"/>
            </w:pPr>
            <w:r>
              <w:rPr>
                <w:rFonts w:ascii="Arial" w:hAnsi="Arial"/>
                <w:color w:val="0F1115"/>
                <w:sz w:val="21"/>
              </w:rPr>
              <w:t>Move all billing to the new engine before renewals</w:t>
            </w:r>
          </w:p>
        </w:tc>
      </w:tr>
      <w:tr>
        <w:trPr>
          <w:cantSplit/>
        </w:trPr>
        <w:tc>
          <w:tcPr>
            <w:tcW w:type="dxa" w:w="2835"/>
          </w:tcPr>
          <w:p>
            <w:pPr>
              <w:spacing w:before="40" w:after="40"/>
            </w:pPr>
            <w:r>
              <w:rPr>
                <w:rFonts w:ascii="Arial" w:hAnsi="Arial"/>
                <w:b/>
                <w:color w:val="0F1115"/>
                <w:sz w:val="21"/>
              </w:rPr>
              <w:t>Owner</w:t>
            </w:r>
          </w:p>
        </w:tc>
        <w:tc>
          <w:tcPr>
            <w:tcW w:type="dxa" w:w="6803"/>
          </w:tcPr>
          <w:p>
            <w:pPr>
              <w:spacing w:before="40" w:after="40"/>
            </w:pPr>
            <w:r>
              <w:rPr>
                <w:rFonts w:ascii="Arial" w:hAnsi="Arial"/>
                <w:color w:val="0F1115"/>
                <w:sz w:val="21"/>
              </w:rPr>
              <w:t>Hugo (Program Manager)</w:t>
            </w:r>
          </w:p>
        </w:tc>
      </w:tr>
      <w:tr>
        <w:trPr>
          <w:cantSplit/>
        </w:trPr>
        <w:tc>
          <w:tcPr>
            <w:tcW w:type="dxa" w:w="2835"/>
          </w:tcPr>
          <w:p>
            <w:pPr>
              <w:spacing w:before="40" w:after="40"/>
            </w:pPr>
            <w:r>
              <w:rPr>
                <w:rFonts w:ascii="Arial" w:hAnsi="Arial"/>
                <w:b/>
                <w:color w:val="0F1115"/>
                <w:sz w:val="21"/>
              </w:rPr>
              <w:t>Sponsor</w:t>
            </w:r>
          </w:p>
        </w:tc>
        <w:tc>
          <w:tcPr>
            <w:tcW w:type="dxa" w:w="6803"/>
          </w:tcPr>
          <w:p>
            <w:pPr>
              <w:spacing w:before="40" w:after="40"/>
            </w:pPr>
            <w:r>
              <w:rPr>
                <w:rFonts w:ascii="Arial" w:hAnsi="Arial"/>
                <w:color w:val="0F1115"/>
                <w:sz w:val="21"/>
              </w:rPr>
              <w:t>Not yet named</w:t>
            </w:r>
          </w:p>
        </w:tc>
      </w:tr>
      <w:tr>
        <w:trPr>
          <w:cantSplit/>
        </w:trPr>
        <w:tc>
          <w:tcPr>
            <w:tcW w:type="dxa" w:w="2835"/>
          </w:tcPr>
          <w:p>
            <w:pPr>
              <w:spacing w:before="40" w:after="40"/>
            </w:pPr>
            <w:r>
              <w:rPr>
                <w:rFonts w:ascii="Arial" w:hAnsi="Arial"/>
                <w:b/>
                <w:color w:val="0F1115"/>
                <w:sz w:val="21"/>
              </w:rPr>
              <w:t>Planned finish</w:t>
            </w:r>
          </w:p>
        </w:tc>
        <w:tc>
          <w:tcPr>
            <w:tcW w:type="dxa" w:w="6803"/>
          </w:tcPr>
          <w:p>
            <w:pPr>
              <w:spacing w:before="40" w:after="40"/>
            </w:pPr>
            <w:r>
              <w:rPr>
                <w:rFonts w:ascii="Arial" w:hAnsi="Arial"/>
                <w:color w:val="0F1115"/>
                <w:sz w:val="21"/>
              </w:rPr>
              <w:t>30 Jun 2027</w:t>
            </w:r>
          </w:p>
        </w:tc>
      </w:tr>
      <w:tr>
        <w:trPr>
          <w:cantSplit/>
        </w:trPr>
        <w:tc>
          <w:tcPr>
            <w:tcW w:type="dxa" w:w="2835"/>
          </w:tcPr>
          <w:p>
            <w:pPr>
              <w:spacing w:before="40" w:after="40"/>
            </w:pPr>
            <w:r>
              <w:rPr>
                <w:rFonts w:ascii="Arial" w:hAnsi="Arial"/>
                <w:b/>
                <w:color w:val="0F1115"/>
                <w:sz w:val="21"/>
              </w:rPr>
              <w:t>Budget (the envelope at signing)</w:t>
            </w:r>
          </w:p>
        </w:tc>
        <w:tc>
          <w:tcPr>
            <w:tcW w:type="dxa" w:w="6803"/>
          </w:tcPr>
          <w:p>
            <w:pPr>
              <w:spacing w:before="40" w:after="40"/>
            </w:pPr>
            <w:r>
              <w:rPr>
                <w:rFonts w:ascii="Arial" w:hAnsi="Arial"/>
                <w:color w:val="0F1115"/>
                <w:sz w:val="21"/>
              </w:rPr>
              <w:t>900,000 (US dollars)</w:t>
            </w:r>
          </w:p>
        </w:tc>
      </w:tr>
      <w:tr>
        <w:trPr>
          <w:cantSplit/>
        </w:trPr>
        <w:tc>
          <w:tcPr>
            <w:tcW w:type="dxa" w:w="2835"/>
          </w:tcPr>
          <w:p>
            <w:pPr>
              <w:spacing w:before="40" w:after="40"/>
            </w:pPr>
            <w:r>
              <w:rPr>
                <w:rFonts w:ascii="Arial" w:hAnsi="Arial"/>
                <w:b/>
                <w:color w:val="0F1115"/>
                <w:sz w:val="21"/>
              </w:rPr>
              <w:t>Edition</w:t>
            </w:r>
          </w:p>
        </w:tc>
        <w:tc>
          <w:tcPr>
            <w:tcW w:type="dxa" w:w="6803"/>
          </w:tcPr>
          <w:p>
            <w:pPr>
              <w:spacing w:before="40" w:after="40"/>
            </w:pPr>
            <w:r>
              <w:rPr>
                <w:rFonts w:ascii="Arial" w:hAnsi="Arial"/>
                <w:color w:val="0F1115"/>
                <w:sz w:val="21"/>
              </w:rPr>
              <w:t>1</w:t>
            </w:r>
          </w:p>
        </w:tc>
      </w:tr>
      <w:tr>
        <w:trPr>
          <w:cantSplit/>
        </w:trPr>
        <w:tc>
          <w:tcPr>
            <w:tcW w:type="dxa" w:w="2835"/>
          </w:tcPr>
          <w:p>
            <w:pPr>
              <w:spacing w:before="40" w:after="40"/>
            </w:pPr>
            <w:r>
              <w:rPr>
                <w:rFonts w:ascii="Arial" w:hAnsi="Arial"/>
                <w:b/>
                <w:color w:val="0F1115"/>
                <w:sz w:val="21"/>
              </w:rPr>
              <w:t>Charter status</w:t>
            </w:r>
          </w:p>
        </w:tc>
        <w:tc>
          <w:tcPr>
            <w:tcW w:type="dxa" w:w="6803"/>
          </w:tcPr>
          <w:p>
            <w:pPr>
              <w:spacing w:before="40" w:after="40"/>
            </w:pPr>
            <w:r>
              <w:rPr>
                <w:rFonts w:ascii="Arial" w:hAnsi="Arial"/>
                <w:color w:val="0F1115"/>
                <w:sz w:val="21"/>
              </w:rPr>
              <w:t>Signed</w:t>
            </w:r>
          </w:p>
        </w:tc>
      </w:tr>
    </w:tbl>
    <w:p>
      <w:pPr>
        <w:pStyle w:val="Heading1"/>
        <w:keepNext/>
      </w:pPr>
      <w:r>
        <w:t>1. What the program is for</w:t>
      </w:r>
    </w:p>
    <w:p>
      <w:pPr>
        <w:spacing w:before="0" w:after="80"/>
      </w:pPr>
      <w:r>
        <w:rPr>
          <w:rFonts w:ascii="Arial" w:hAnsi="Arial"/>
          <w:color w:val="0F1115"/>
          <w:sz w:val="21"/>
        </w:rPr>
        <w:t>By 30 Jun 2027, Finance Operations runs billing for every Hollins customer on the new billing engine, with tax worked out inside it.</w:t>
      </w:r>
    </w:p>
    <w:p>
      <w:pPr>
        <w:spacing w:before="0" w:after="80"/>
      </w:pPr>
      <w:r>
        <w:rPr>
          <w:rFonts w:ascii="Arial" w:hAnsi="Arial"/>
          <w:b/>
          <w:color w:val="0F1115"/>
          <w:sz w:val="21"/>
        </w:rPr>
        <w:t xml:space="preserve">Why a program: </w:t>
      </w:r>
      <w:r>
        <w:rPr>
          <w:rFonts w:ascii="Arial" w:hAnsi="Arial"/>
          <w:color w:val="0F1115"/>
          <w:sz w:val="21"/>
        </w:rPr>
        <w:t>Billing Engine Rewrite builds the engine and moves the customers to it. Invoice Tax Rules gives it the tax rules for customers outside the US, and neither project moves every customer on its own.</w:t>
      </w:r>
    </w:p>
    <w:p>
      <w:pPr>
        <w:pStyle w:val="Heading1"/>
        <w:keepNext/>
      </w:pPr>
      <w:r>
        <w:t>2. Benefits</w:t>
      </w:r>
    </w:p>
    <w:p>
      <w:pPr>
        <w:keepNext/>
        <w:spacing w:before="160" w:after="60"/>
      </w:pPr>
      <w:r>
        <w:rPr>
          <w:rFonts w:ascii="Arial" w:hAnsi="Arial"/>
          <w:b/>
          <w:color w:val="0F1115"/>
          <w:sz w:val="21"/>
        </w:rPr>
        <w:t>Table A: Benefits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1814"/>
        <w:gridCol w:w="1134"/>
        <w:gridCol w:w="2608"/>
        <w:gridCol w:w="1247"/>
        <w:gridCol w:w="1701"/>
        <w:gridCol w:w="1134"/>
      </w:tblGrid>
      <w:tr>
        <w:trPr>
          <w:cantSplit/>
          <w:tblHeader/>
        </w:trPr>
        <w:tc>
          <w:tcPr>
            <w:tcW w:type="dxa" w:w="1814"/>
            <w:shd w:val="clear" w:color="auto" w:fill="F4F5F6"/>
          </w:tcPr>
          <w:p>
            <w:pPr>
              <w:spacing w:before="0" w:after="0"/>
            </w:pPr>
            <w:r>
              <w:rPr>
                <w:rFonts w:ascii="Arial" w:hAnsi="Arial"/>
                <w:b/>
                <w:color w:val="0F1115"/>
                <w:sz w:val="19"/>
              </w:rPr>
              <w:t>Benefit</w:t>
            </w:r>
          </w:p>
        </w:tc>
        <w:tc>
          <w:tcPr>
            <w:tcW w:type="dxa" w:w="1134"/>
            <w:shd w:val="clear" w:color="auto" w:fill="F4F5F6"/>
          </w:tcPr>
          <w:p>
            <w:pPr>
              <w:spacing w:before="0" w:after="0"/>
            </w:pPr>
            <w:r>
              <w:rPr>
                <w:rFonts w:ascii="Arial" w:hAnsi="Arial"/>
                <w:b/>
                <w:color w:val="0F1115"/>
                <w:sz w:val="19"/>
              </w:rPr>
              <w:t>Kind</w:t>
            </w:r>
          </w:p>
        </w:tc>
        <w:tc>
          <w:tcPr>
            <w:tcW w:type="dxa" w:w="2608"/>
            <w:shd w:val="clear" w:color="auto" w:fill="F4F5F6"/>
          </w:tcPr>
          <w:p>
            <w:pPr>
              <w:spacing w:before="0" w:after="0"/>
            </w:pPr>
            <w:r>
              <w:rPr>
                <w:rFonts w:ascii="Arial" w:hAnsi="Arial"/>
                <w:b/>
                <w:color w:val="0F1115"/>
                <w:sz w:val="19"/>
              </w:rPr>
              <w:t>Measure</w:t>
            </w:r>
          </w:p>
        </w:tc>
        <w:tc>
          <w:tcPr>
            <w:tcW w:type="dxa" w:w="1247"/>
            <w:shd w:val="clear" w:color="auto" w:fill="F4F5F6"/>
          </w:tcPr>
          <w:p>
            <w:pPr>
              <w:spacing w:before="0" w:after="0"/>
            </w:pPr>
            <w:r>
              <w:rPr>
                <w:rFonts w:ascii="Arial" w:hAnsi="Arial"/>
                <w:b/>
                <w:color w:val="0F1115"/>
                <w:sz w:val="19"/>
              </w:rPr>
              <w:t>Unit</w:t>
            </w:r>
          </w:p>
        </w:tc>
        <w:tc>
          <w:tcPr>
            <w:tcW w:type="dxa" w:w="1701"/>
            <w:shd w:val="clear" w:color="auto" w:fill="F4F5F6"/>
          </w:tcPr>
          <w:p>
            <w:pPr>
              <w:spacing w:before="0" w:after="0"/>
            </w:pPr>
            <w:r>
              <w:rPr>
                <w:rFonts w:ascii="Arial" w:hAnsi="Arial"/>
                <w:b/>
                <w:color w:val="0F1115"/>
                <w:sz w:val="19"/>
              </w:rPr>
              <w:t>Owner</w:t>
            </w:r>
          </w:p>
        </w:tc>
        <w:tc>
          <w:tcPr>
            <w:tcW w:type="dxa" w:w="1134"/>
            <w:shd w:val="clear" w:color="auto" w:fill="F4F5F6"/>
          </w:tcPr>
          <w:p>
            <w:pPr>
              <w:spacing w:before="0" w:after="0"/>
            </w:pPr>
            <w:r>
              <w:rPr>
                <w:rFonts w:ascii="Arial" w:hAnsi="Arial"/>
                <w:b/>
                <w:color w:val="0F1115"/>
                <w:sz w:val="19"/>
              </w:rPr>
              <w:t>Worth a year</w:t>
            </w:r>
          </w:p>
        </w:tc>
      </w:tr>
      <w:tr>
        <w:trPr>
          <w:cantSplit/>
        </w:trPr>
        <w:tc>
          <w:tcPr>
            <w:tcW w:type="dxa" w:w="1814"/>
          </w:tcPr>
          <w:p>
            <w:pPr>
              <w:spacing w:before="0" w:after="0"/>
            </w:pPr>
            <w:r>
              <w:rPr>
                <w:rFonts w:ascii="Arial" w:hAnsi="Arial"/>
                <w:color w:val="0F1115"/>
                <w:sz w:val="19"/>
              </w:rPr>
              <w:t>Invoices from the new engine</w:t>
            </w:r>
          </w:p>
        </w:tc>
        <w:tc>
          <w:tcPr>
            <w:tcW w:type="dxa" w:w="1134"/>
          </w:tcPr>
          <w:p>
            <w:pPr>
              <w:spacing w:before="0" w:after="0"/>
            </w:pPr>
            <w:r>
              <w:rPr>
                <w:rFonts w:ascii="Arial" w:hAnsi="Arial"/>
                <w:color w:val="0F1115"/>
                <w:sz w:val="19"/>
              </w:rPr>
              <w:t>Benefit</w:t>
            </w:r>
          </w:p>
        </w:tc>
        <w:tc>
          <w:tcPr>
            <w:tcW w:type="dxa" w:w="2608"/>
          </w:tcPr>
          <w:p>
            <w:pPr>
              <w:spacing w:before="0" w:after="0"/>
            </w:pPr>
            <w:r>
              <w:rPr>
                <w:rFonts w:ascii="Arial" w:hAnsi="Arial"/>
                <w:color w:val="0F1115"/>
                <w:sz w:val="19"/>
              </w:rPr>
              <w:t>Share of invoices produced by the new engine, from the billing run report</w:t>
            </w:r>
          </w:p>
        </w:tc>
        <w:tc>
          <w:tcPr>
            <w:tcW w:type="dxa" w:w="1247"/>
          </w:tcPr>
          <w:p>
            <w:pPr>
              <w:spacing w:before="0" w:after="0"/>
            </w:pPr>
            <w:r>
              <w:rPr>
                <w:rFonts w:ascii="Arial" w:hAnsi="Arial"/>
                <w:color w:val="0F1115"/>
                <w:sz w:val="19"/>
              </w:rPr>
              <w:t>Percent</w:t>
            </w:r>
          </w:p>
        </w:tc>
        <w:tc>
          <w:tcPr>
            <w:tcW w:type="dxa" w:w="1701"/>
          </w:tcPr>
          <w:p>
            <w:pPr>
              <w:spacing w:before="0" w:after="0"/>
            </w:pPr>
            <w:r>
              <w:rPr>
                <w:rFonts w:ascii="Arial" w:hAnsi="Arial"/>
                <w:color w:val="0F1115"/>
                <w:sz w:val="19"/>
              </w:rPr>
              <w:t>Hugo (Program Manager)</w:t>
            </w:r>
          </w:p>
        </w:tc>
        <w:tc>
          <w:tcPr>
            <w:tcW w:type="dxa" w:w="1134"/>
          </w:tcPr>
          <w:p>
            <w:pPr>
              <w:spacing w:before="0" w:after="0"/>
            </w:pPr>
          </w:p>
        </w:tc>
      </w:tr>
      <w:tr>
        <w:trPr>
          <w:cantSplit/>
        </w:trPr>
        <w:tc>
          <w:tcPr>
            <w:tcW w:type="dxa" w:w="1814"/>
          </w:tcPr>
          <w:p>
            <w:pPr>
              <w:spacing w:before="0" w:after="0"/>
            </w:pPr>
            <w:r>
              <w:rPr>
                <w:rFonts w:ascii="Arial" w:hAnsi="Arial"/>
                <w:color w:val="0F1115"/>
                <w:sz w:val="19"/>
              </w:rPr>
              <w:t>Fewer invoice corrections</w:t>
            </w:r>
          </w:p>
        </w:tc>
        <w:tc>
          <w:tcPr>
            <w:tcW w:type="dxa" w:w="1134"/>
          </w:tcPr>
          <w:p>
            <w:pPr>
              <w:spacing w:before="0" w:after="0"/>
            </w:pPr>
            <w:r>
              <w:rPr>
                <w:rFonts w:ascii="Arial" w:hAnsi="Arial"/>
                <w:color w:val="0F1115"/>
                <w:sz w:val="19"/>
              </w:rPr>
              <w:t>Benefit</w:t>
            </w:r>
          </w:p>
        </w:tc>
        <w:tc>
          <w:tcPr>
            <w:tcW w:type="dxa" w:w="2608"/>
          </w:tcPr>
          <w:p>
            <w:pPr>
              <w:spacing w:before="0" w:after="0"/>
            </w:pPr>
            <w:r>
              <w:rPr>
                <w:rFonts w:ascii="Arial" w:hAnsi="Arial"/>
                <w:color w:val="0F1115"/>
                <w:sz w:val="19"/>
              </w:rPr>
              <w:t>Credit notes issued in a month to fix a billing error, from the finance ledger</w:t>
            </w:r>
          </w:p>
        </w:tc>
        <w:tc>
          <w:tcPr>
            <w:tcW w:type="dxa" w:w="1247"/>
          </w:tcPr>
          <w:p>
            <w:pPr>
              <w:spacing w:before="0" w:after="0"/>
            </w:pPr>
            <w:r>
              <w:rPr>
                <w:rFonts w:ascii="Arial" w:hAnsi="Arial"/>
                <w:color w:val="0F1115"/>
                <w:sz w:val="19"/>
              </w:rPr>
              <w:t>Count</w:t>
            </w:r>
          </w:p>
        </w:tc>
        <w:tc>
          <w:tcPr>
            <w:tcW w:type="dxa" w:w="1701"/>
          </w:tcPr>
          <w:p>
            <w:pPr>
              <w:spacing w:before="0" w:after="0"/>
            </w:pPr>
            <w:r>
              <w:rPr>
                <w:rFonts w:ascii="Arial" w:hAnsi="Arial"/>
                <w:color w:val="0F1115"/>
                <w:sz w:val="19"/>
              </w:rPr>
              <w:t>Rhys (Finance Operations Lead)</w:t>
            </w:r>
          </w:p>
        </w:tc>
        <w:tc>
          <w:tcPr>
            <w:tcW w:type="dxa" w:w="1134"/>
          </w:tcPr>
          <w:p>
            <w:pPr>
              <w:spacing w:before="0" w:after="0"/>
            </w:pPr>
          </w:p>
        </w:tc>
      </w:tr>
      <w:tr>
        <w:trPr>
          <w:cantSplit/>
        </w:trPr>
        <w:tc>
          <w:tcPr>
            <w:tcW w:type="dxa" w:w="1814"/>
          </w:tcPr>
          <w:p>
            <w:pPr>
              <w:spacing w:before="0" w:after="0"/>
            </w:pPr>
            <w:r>
              <w:rPr>
                <w:rFonts w:ascii="Arial" w:hAnsi="Arial"/>
                <w:color w:val="0F1115"/>
                <w:sz w:val="19"/>
              </w:rPr>
              <w:t>Cheaper to run billing</w:t>
            </w:r>
          </w:p>
        </w:tc>
        <w:tc>
          <w:tcPr>
            <w:tcW w:type="dxa" w:w="1134"/>
          </w:tcPr>
          <w:p>
            <w:pPr>
              <w:spacing w:before="0" w:after="0"/>
            </w:pPr>
            <w:r>
              <w:rPr>
                <w:rFonts w:ascii="Arial" w:hAnsi="Arial"/>
                <w:color w:val="0F1115"/>
                <w:sz w:val="19"/>
              </w:rPr>
              <w:t>Benefit</w:t>
            </w:r>
          </w:p>
        </w:tc>
        <w:tc>
          <w:tcPr>
            <w:tcW w:type="dxa" w:w="2608"/>
          </w:tcPr>
          <w:p>
            <w:pPr>
              <w:spacing w:before="0" w:after="0"/>
            </w:pPr>
            <w:r>
              <w:rPr>
                <w:rFonts w:ascii="Arial" w:hAnsi="Arial"/>
                <w:color w:val="0F1115"/>
                <w:sz w:val="19"/>
              </w:rPr>
              <w:t>Yearly cost of the old engine's licence and hosting, from the finance ledger</w:t>
            </w:r>
          </w:p>
        </w:tc>
        <w:tc>
          <w:tcPr>
            <w:tcW w:type="dxa" w:w="1247"/>
          </w:tcPr>
          <w:p>
            <w:pPr>
              <w:spacing w:before="0" w:after="0"/>
            </w:pPr>
            <w:r>
              <w:rPr>
                <w:rFonts w:ascii="Arial" w:hAnsi="Arial"/>
                <w:color w:val="0F1115"/>
                <w:sz w:val="19"/>
              </w:rPr>
              <w:t>US dollars a year</w:t>
            </w:r>
          </w:p>
        </w:tc>
        <w:tc>
          <w:tcPr>
            <w:tcW w:type="dxa" w:w="1701"/>
          </w:tcPr>
          <w:p>
            <w:pPr>
              <w:spacing w:before="0" w:after="0"/>
            </w:pPr>
            <w:r>
              <w:rPr>
                <w:rFonts w:ascii="Arial" w:hAnsi="Arial"/>
                <w:color w:val="0F1115"/>
                <w:sz w:val="19"/>
              </w:rPr>
              <w:t>Rhys (Finance Operations Lead)</w:t>
            </w:r>
          </w:p>
        </w:tc>
        <w:tc>
          <w:tcPr>
            <w:tcW w:type="dxa" w:w="1134"/>
          </w:tcPr>
          <w:p>
            <w:pPr>
              <w:spacing w:before="0" w:after="0"/>
            </w:pPr>
            <w:r>
              <w:rPr>
                <w:rFonts w:ascii="Arial" w:hAnsi="Arial"/>
                <w:color w:val="0F1115"/>
                <w:sz w:val="19"/>
              </w:rPr>
              <w:t>310,000</w:t>
            </w:r>
          </w:p>
        </w:tc>
      </w:tr>
    </w:tbl>
    <w:p>
      <w:pPr>
        <w:keepNext/>
        <w:spacing w:before="160" w:after="60"/>
      </w:pPr>
      <w:r>
        <w:rPr>
          <w:rFonts w:ascii="Arial" w:hAnsi="Arial"/>
          <w:b/>
          <w:color w:val="0F1115"/>
          <w:sz w:val="21"/>
        </w:rPr>
        <w:t>Table A, continued: Baselines and targets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041"/>
        <w:gridCol w:w="1531"/>
        <w:gridCol w:w="1531"/>
        <w:gridCol w:w="1474"/>
        <w:gridCol w:w="1531"/>
        <w:gridCol w:w="1531"/>
      </w:tblGrid>
      <w:tr>
        <w:trPr>
          <w:cantSplit/>
          <w:tblHeader/>
        </w:trPr>
        <w:tc>
          <w:tcPr>
            <w:tcW w:type="dxa" w:w="2041"/>
            <w:shd w:val="clear" w:color="auto" w:fill="F4F5F6"/>
          </w:tcPr>
          <w:p>
            <w:pPr>
              <w:spacing w:before="0" w:after="0"/>
            </w:pPr>
            <w:r>
              <w:rPr>
                <w:rFonts w:ascii="Arial" w:hAnsi="Arial"/>
                <w:b/>
                <w:color w:val="0F1115"/>
                <w:sz w:val="19"/>
              </w:rPr>
              <w:t>Benefit</w:t>
            </w:r>
          </w:p>
        </w:tc>
        <w:tc>
          <w:tcPr>
            <w:tcW w:type="dxa" w:w="1531"/>
            <w:shd w:val="clear" w:color="auto" w:fill="F4F5F6"/>
          </w:tcPr>
          <w:p>
            <w:pPr>
              <w:spacing w:before="0" w:after="0"/>
            </w:pPr>
            <w:r>
              <w:rPr>
                <w:rFonts w:ascii="Arial" w:hAnsi="Arial"/>
                <w:b/>
                <w:color w:val="0F1115"/>
                <w:sz w:val="19"/>
              </w:rPr>
              <w:t>Baseline</w:t>
            </w:r>
          </w:p>
        </w:tc>
        <w:tc>
          <w:tcPr>
            <w:tcW w:type="dxa" w:w="1531"/>
            <w:shd w:val="clear" w:color="auto" w:fill="F4F5F6"/>
          </w:tcPr>
          <w:p>
            <w:pPr>
              <w:spacing w:before="0" w:after="0"/>
            </w:pPr>
            <w:r>
              <w:rPr>
                <w:rFonts w:ascii="Arial" w:hAnsi="Arial"/>
                <w:b/>
                <w:color w:val="0F1115"/>
                <w:sz w:val="19"/>
              </w:rPr>
              <w:t>Baseline date</w:t>
            </w:r>
          </w:p>
        </w:tc>
        <w:tc>
          <w:tcPr>
            <w:tcW w:type="dxa" w:w="1474"/>
            <w:shd w:val="clear" w:color="auto" w:fill="F4F5F6"/>
          </w:tcPr>
          <w:p>
            <w:pPr>
              <w:spacing w:before="0" w:after="0"/>
            </w:pPr>
            <w:r>
              <w:rPr>
                <w:rFonts w:ascii="Arial" w:hAnsi="Arial"/>
                <w:b/>
                <w:color w:val="0F1115"/>
                <w:sz w:val="19"/>
              </w:rPr>
              <w:t>Target</w:t>
            </w:r>
          </w:p>
        </w:tc>
        <w:tc>
          <w:tcPr>
            <w:tcW w:type="dxa" w:w="1531"/>
            <w:shd w:val="clear" w:color="auto" w:fill="F4F5F6"/>
          </w:tcPr>
          <w:p>
            <w:pPr>
              <w:spacing w:before="0" w:after="0"/>
            </w:pPr>
            <w:r>
              <w:rPr>
                <w:rFonts w:ascii="Arial" w:hAnsi="Arial"/>
                <w:b/>
                <w:color w:val="0F1115"/>
                <w:sz w:val="19"/>
              </w:rPr>
              <w:t>Target date</w:t>
            </w:r>
          </w:p>
        </w:tc>
        <w:tc>
          <w:tcPr>
            <w:tcW w:type="dxa" w:w="1531"/>
            <w:shd w:val="clear" w:color="auto" w:fill="F4F5F6"/>
          </w:tcPr>
          <w:p>
            <w:pPr>
              <w:spacing w:before="0" w:after="0"/>
            </w:pPr>
            <w:r>
              <w:rPr>
                <w:rFonts w:ascii="Arial" w:hAnsi="Arial"/>
                <w:b/>
                <w:color w:val="0F1115"/>
                <w:sz w:val="19"/>
              </w:rPr>
              <w:t>First read</w:t>
            </w:r>
          </w:p>
        </w:tc>
      </w:tr>
      <w:tr>
        <w:trPr>
          <w:cantSplit/>
        </w:trPr>
        <w:tc>
          <w:tcPr>
            <w:tcW w:type="dxa" w:w="2041"/>
          </w:tcPr>
          <w:p>
            <w:pPr>
              <w:spacing w:before="0" w:after="0"/>
            </w:pPr>
            <w:r>
              <w:rPr>
                <w:rFonts w:ascii="Arial" w:hAnsi="Arial"/>
                <w:color w:val="0F1115"/>
                <w:sz w:val="19"/>
              </w:rPr>
              <w:t>Invoices from the new engine</w:t>
            </w:r>
          </w:p>
        </w:tc>
        <w:tc>
          <w:tcPr>
            <w:tcW w:type="dxa" w:w="1531"/>
          </w:tcPr>
          <w:p>
            <w:pPr>
              <w:spacing w:before="0" w:after="0"/>
            </w:pPr>
            <w:r>
              <w:rPr>
                <w:rFonts w:ascii="Arial" w:hAnsi="Arial"/>
                <w:color w:val="0F1115"/>
                <w:sz w:val="19"/>
              </w:rPr>
              <w:t>0</w:t>
            </w:r>
          </w:p>
        </w:tc>
        <w:tc>
          <w:tcPr>
            <w:tcW w:type="dxa" w:w="1531"/>
          </w:tcPr>
          <w:p>
            <w:pPr>
              <w:spacing w:before="0" w:after="0"/>
            </w:pPr>
            <w:r>
              <w:rPr>
                <w:rFonts w:ascii="Arial" w:hAnsi="Arial"/>
                <w:color w:val="0F1115"/>
                <w:sz w:val="19"/>
              </w:rPr>
              <w:t>1 Oct 2026</w:t>
            </w:r>
          </w:p>
        </w:tc>
        <w:tc>
          <w:tcPr>
            <w:tcW w:type="dxa" w:w="1474"/>
          </w:tcPr>
          <w:p>
            <w:pPr>
              <w:spacing w:before="0" w:after="0"/>
            </w:pPr>
            <w:r>
              <w:rPr>
                <w:rFonts w:ascii="Arial" w:hAnsi="Arial"/>
                <w:color w:val="0F1115"/>
                <w:sz w:val="19"/>
              </w:rPr>
              <w:t>100</w:t>
            </w:r>
          </w:p>
        </w:tc>
        <w:tc>
          <w:tcPr>
            <w:tcW w:type="dxa" w:w="1531"/>
          </w:tcPr>
          <w:p>
            <w:pPr>
              <w:spacing w:before="0" w:after="0"/>
            </w:pPr>
            <w:r>
              <w:rPr>
                <w:rFonts w:ascii="Arial" w:hAnsi="Arial"/>
                <w:color w:val="0F1115"/>
                <w:sz w:val="19"/>
              </w:rPr>
              <w:t>30 Sep 2027</w:t>
            </w:r>
          </w:p>
        </w:tc>
        <w:tc>
          <w:tcPr>
            <w:tcW w:type="dxa" w:w="1531"/>
          </w:tcPr>
          <w:p>
            <w:pPr>
              <w:spacing w:before="0" w:after="0"/>
            </w:pPr>
            <w:r>
              <w:rPr>
                <w:rFonts w:ascii="Arial" w:hAnsi="Arial"/>
                <w:color w:val="0F1115"/>
                <w:sz w:val="19"/>
              </w:rPr>
              <w:t>29 Jan 2027</w:t>
            </w:r>
          </w:p>
        </w:tc>
      </w:tr>
      <w:tr>
        <w:trPr>
          <w:cantSplit/>
        </w:trPr>
        <w:tc>
          <w:tcPr>
            <w:tcW w:type="dxa" w:w="2041"/>
          </w:tcPr>
          <w:p>
            <w:pPr>
              <w:spacing w:before="0" w:after="0"/>
            </w:pPr>
            <w:r>
              <w:rPr>
                <w:rFonts w:ascii="Arial" w:hAnsi="Arial"/>
                <w:color w:val="0F1115"/>
                <w:sz w:val="19"/>
              </w:rPr>
              <w:t>Fewer invoice corrections</w:t>
            </w:r>
          </w:p>
        </w:tc>
        <w:tc>
          <w:tcPr>
            <w:tcW w:type="dxa" w:w="1531"/>
          </w:tcPr>
          <w:p>
            <w:pPr>
              <w:spacing w:before="0" w:after="0"/>
            </w:pPr>
            <w:r>
              <w:rPr>
                <w:rFonts w:ascii="Arial" w:hAnsi="Arial"/>
                <w:color w:val="0F1115"/>
                <w:sz w:val="19"/>
              </w:rPr>
              <w:t>Not yet measured</w:t>
            </w:r>
          </w:p>
        </w:tc>
        <w:tc>
          <w:tcPr>
            <w:tcW w:type="dxa" w:w="1531"/>
          </w:tcPr>
          <w:p>
            <w:pPr>
              <w:spacing w:before="0" w:after="0"/>
            </w:pPr>
          </w:p>
        </w:tc>
        <w:tc>
          <w:tcPr>
            <w:tcW w:type="dxa" w:w="1474"/>
          </w:tcPr>
          <w:p>
            <w:pPr>
              <w:spacing w:before="0" w:after="0"/>
            </w:pPr>
            <w:r>
              <w:rPr>
                <w:rFonts w:ascii="Arial" w:hAnsi="Arial"/>
                <w:color w:val="0F1115"/>
                <w:sz w:val="19"/>
              </w:rPr>
              <w:t>60</w:t>
            </w:r>
          </w:p>
        </w:tc>
        <w:tc>
          <w:tcPr>
            <w:tcW w:type="dxa" w:w="1531"/>
          </w:tcPr>
          <w:p>
            <w:pPr>
              <w:spacing w:before="0" w:after="0"/>
            </w:pPr>
            <w:r>
              <w:rPr>
                <w:rFonts w:ascii="Arial" w:hAnsi="Arial"/>
                <w:color w:val="0F1115"/>
                <w:sz w:val="19"/>
              </w:rPr>
              <w:t>31 Dec 2027</w:t>
            </w:r>
          </w:p>
        </w:tc>
        <w:tc>
          <w:tcPr>
            <w:tcW w:type="dxa" w:w="1531"/>
          </w:tcPr>
          <w:p>
            <w:pPr>
              <w:spacing w:before="0" w:after="0"/>
            </w:pPr>
            <w:r>
              <w:rPr>
                <w:rFonts w:ascii="Arial" w:hAnsi="Arial"/>
                <w:color w:val="0F1115"/>
                <w:sz w:val="19"/>
              </w:rPr>
              <w:t>30 Apr 2027</w:t>
            </w:r>
          </w:p>
        </w:tc>
      </w:tr>
      <w:tr>
        <w:trPr>
          <w:cantSplit/>
        </w:trPr>
        <w:tc>
          <w:tcPr>
            <w:tcW w:type="dxa" w:w="2041"/>
          </w:tcPr>
          <w:p>
            <w:pPr>
              <w:spacing w:before="0" w:after="0"/>
            </w:pPr>
            <w:r>
              <w:rPr>
                <w:rFonts w:ascii="Arial" w:hAnsi="Arial"/>
                <w:color w:val="0F1115"/>
                <w:sz w:val="19"/>
              </w:rPr>
              <w:t>Cheaper to run billing</w:t>
            </w:r>
          </w:p>
        </w:tc>
        <w:tc>
          <w:tcPr>
            <w:tcW w:type="dxa" w:w="1531"/>
          </w:tcPr>
          <w:p>
            <w:pPr>
              <w:spacing w:before="0" w:after="0"/>
            </w:pPr>
            <w:r>
              <w:rPr>
                <w:rFonts w:ascii="Arial" w:hAnsi="Arial"/>
                <w:color w:val="0F1115"/>
                <w:sz w:val="19"/>
              </w:rPr>
              <w:t>310,000</w:t>
            </w:r>
          </w:p>
        </w:tc>
        <w:tc>
          <w:tcPr>
            <w:tcW w:type="dxa" w:w="1531"/>
          </w:tcPr>
          <w:p>
            <w:pPr>
              <w:spacing w:before="0" w:after="0"/>
            </w:pPr>
            <w:r>
              <w:rPr>
                <w:rFonts w:ascii="Arial" w:hAnsi="Arial"/>
                <w:color w:val="0F1115"/>
                <w:sz w:val="19"/>
              </w:rPr>
              <w:t>30 Sep 2026</w:t>
            </w:r>
          </w:p>
        </w:tc>
        <w:tc>
          <w:tcPr>
            <w:tcW w:type="dxa" w:w="1474"/>
          </w:tcPr>
          <w:p>
            <w:pPr>
              <w:spacing w:before="0" w:after="0"/>
            </w:pPr>
            <w:r>
              <w:rPr>
                <w:rFonts w:ascii="Arial" w:hAnsi="Arial"/>
                <w:color w:val="0F1115"/>
                <w:sz w:val="19"/>
              </w:rPr>
              <w:t>0</w:t>
            </w:r>
          </w:p>
        </w:tc>
        <w:tc>
          <w:tcPr>
            <w:tcW w:type="dxa" w:w="1531"/>
          </w:tcPr>
          <w:p>
            <w:pPr>
              <w:spacing w:before="0" w:after="0"/>
            </w:pPr>
            <w:r>
              <w:rPr>
                <w:rFonts w:ascii="Arial" w:hAnsi="Arial"/>
                <w:color w:val="0F1115"/>
                <w:sz w:val="19"/>
              </w:rPr>
              <w:t>31 Dec 2027</w:t>
            </w:r>
          </w:p>
        </w:tc>
        <w:tc>
          <w:tcPr>
            <w:tcW w:type="dxa" w:w="1531"/>
          </w:tcPr>
          <w:p>
            <w:pPr>
              <w:spacing w:before="0" w:after="0"/>
            </w:pPr>
            <w:r>
              <w:rPr>
                <w:rFonts w:ascii="Arial" w:hAnsi="Arial"/>
                <w:color w:val="0F1115"/>
                <w:sz w:val="19"/>
              </w:rPr>
              <w:t>30 Jul 2027</w:t>
            </w:r>
          </w:p>
        </w:tc>
      </w:tr>
    </w:tbl>
    <w:p>
      <w:pPr>
        <w:spacing w:before="60" w:after="80"/>
      </w:pPr>
      <w:r>
        <w:rPr>
          <w:rFonts w:ascii="Arial" w:hAnsi="Arial"/>
          <w:color w:val="0F1115"/>
          <w:sz w:val="21"/>
        </w:rPr>
        <w:t>First read is the first time the Owner reads the measure. After that, it's read each quarter until the target date, and the program workbook keeps the next date.</w:t>
      </w:r>
    </w:p>
    <w:p>
      <w:pPr>
        <w:keepNext/>
        <w:spacing w:before="160" w:after="60"/>
      </w:pPr>
      <w:r>
        <w:rPr>
          <w:rFonts w:ascii="Arial" w:hAnsi="Arial"/>
          <w:b/>
          <w:color w:val="0F1115"/>
          <w:sz w:val="21"/>
        </w:rPr>
        <w:t>Table B: Costs that continue</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381"/>
        <w:gridCol w:w="1134"/>
        <w:gridCol w:w="1814"/>
        <w:gridCol w:w="1928"/>
        <w:gridCol w:w="2381"/>
      </w:tblGrid>
      <w:tr>
        <w:trPr>
          <w:cantSplit/>
          <w:tblHeader/>
        </w:trPr>
        <w:tc>
          <w:tcPr>
            <w:tcW w:type="dxa" w:w="2381"/>
            <w:shd w:val="clear" w:color="auto" w:fill="F4F5F6"/>
          </w:tcPr>
          <w:p>
            <w:pPr>
              <w:spacing w:before="0" w:after="0"/>
            </w:pPr>
            <w:r>
              <w:rPr>
                <w:rFonts w:ascii="Arial" w:hAnsi="Arial"/>
                <w:b/>
                <w:color w:val="0F1115"/>
                <w:sz w:val="19"/>
              </w:rPr>
              <w:t>Cost</w:t>
            </w:r>
          </w:p>
        </w:tc>
        <w:tc>
          <w:tcPr>
            <w:tcW w:type="dxa" w:w="1134"/>
            <w:shd w:val="clear" w:color="auto" w:fill="F4F5F6"/>
          </w:tcPr>
          <w:p>
            <w:pPr>
              <w:spacing w:before="0" w:after="0"/>
            </w:pPr>
            <w:r>
              <w:rPr>
                <w:rFonts w:ascii="Arial" w:hAnsi="Arial"/>
                <w:b/>
                <w:color w:val="0F1115"/>
                <w:sz w:val="19"/>
              </w:rPr>
              <w:t>Per year</w:t>
            </w:r>
          </w:p>
        </w:tc>
        <w:tc>
          <w:tcPr>
            <w:tcW w:type="dxa" w:w="1814"/>
            <w:shd w:val="clear" w:color="auto" w:fill="F4F5F6"/>
          </w:tcPr>
          <w:p>
            <w:pPr>
              <w:spacing w:before="0" w:after="0"/>
            </w:pPr>
            <w:r>
              <w:rPr>
                <w:rFonts w:ascii="Arial" w:hAnsi="Arial"/>
                <w:b/>
                <w:color w:val="0F1115"/>
                <w:sz w:val="19"/>
              </w:rPr>
              <w:t>Who pays</w:t>
            </w:r>
          </w:p>
        </w:tc>
        <w:tc>
          <w:tcPr>
            <w:tcW w:type="dxa" w:w="1928"/>
            <w:shd w:val="clear" w:color="auto" w:fill="F4F5F6"/>
          </w:tcPr>
          <w:p>
            <w:pPr>
              <w:spacing w:before="0" w:after="0"/>
            </w:pPr>
            <w:r>
              <w:rPr>
                <w:rFonts w:ascii="Arial" w:hAnsi="Arial"/>
                <w:b/>
                <w:color w:val="0F1115"/>
                <w:sz w:val="19"/>
              </w:rPr>
              <w:t>Comes off</w:t>
            </w:r>
          </w:p>
        </w:tc>
        <w:tc>
          <w:tcPr>
            <w:tcW w:type="dxa" w:w="2381"/>
            <w:shd w:val="clear" w:color="auto" w:fill="F4F5F6"/>
          </w:tcPr>
          <w:p>
            <w:pPr>
              <w:spacing w:before="0" w:after="0"/>
            </w:pPr>
            <w:r>
              <w:rPr>
                <w:rFonts w:ascii="Arial" w:hAnsi="Arial"/>
                <w:b/>
                <w:color w:val="0F1115"/>
                <w:sz w:val="19"/>
              </w:rPr>
              <w:t>Note</w:t>
            </w:r>
          </w:p>
        </w:tc>
      </w:tr>
      <w:tr>
        <w:trPr>
          <w:cantSplit/>
        </w:trPr>
        <w:tc>
          <w:tcPr>
            <w:tcW w:type="dxa" w:w="2381"/>
          </w:tcPr>
          <w:p>
            <w:pPr>
              <w:spacing w:before="0" w:after="0"/>
            </w:pPr>
            <w:r>
              <w:rPr>
                <w:rFonts w:ascii="Arial" w:hAnsi="Arial"/>
                <w:color w:val="0F1115"/>
                <w:sz w:val="19"/>
              </w:rPr>
              <w:t>None</w:t>
            </w:r>
          </w:p>
        </w:tc>
        <w:tc>
          <w:tcPr>
            <w:tcW w:type="dxa" w:w="1134"/>
          </w:tcPr>
          <w:p>
            <w:pPr>
              <w:spacing w:before="0" w:after="0"/>
            </w:pPr>
          </w:p>
        </w:tc>
        <w:tc>
          <w:tcPr>
            <w:tcW w:type="dxa" w:w="1814"/>
          </w:tcPr>
          <w:p>
            <w:pPr>
              <w:spacing w:before="0" w:after="0"/>
            </w:pPr>
          </w:p>
        </w:tc>
        <w:tc>
          <w:tcPr>
            <w:tcW w:type="dxa" w:w="1928"/>
          </w:tcPr>
          <w:p>
            <w:pPr>
              <w:spacing w:before="0" w:after="0"/>
            </w:pPr>
          </w:p>
        </w:tc>
        <w:tc>
          <w:tcPr>
            <w:tcW w:type="dxa" w:w="2381"/>
          </w:tcPr>
          <w:p>
            <w:pPr>
              <w:spacing w:before="0" w:after="0"/>
            </w:pPr>
          </w:p>
        </w:tc>
      </w:tr>
    </w:tbl>
    <w:p>
      <w:pPr>
        <w:pStyle w:val="Heading1"/>
        <w:keepNext/>
      </w:pPr>
      <w:r>
        <w:t>3. Projects and money</w:t>
      </w:r>
    </w:p>
    <w:p>
      <w:pPr>
        <w:keepNext/>
        <w:spacing w:before="160" w:after="60"/>
      </w:pPr>
      <w:r>
        <w:rPr>
          <w:rFonts w:ascii="Arial" w:hAnsi="Arial"/>
          <w:b/>
          <w:color w:val="0F1115"/>
          <w:sz w:val="21"/>
        </w:rPr>
        <w:t>Table C: Projects and their shares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3118"/>
        <w:gridCol w:w="2835"/>
        <w:gridCol w:w="1701"/>
        <w:gridCol w:w="1984"/>
      </w:tblGrid>
      <w:tr>
        <w:trPr>
          <w:cantSplit/>
          <w:tblHeader/>
        </w:trPr>
        <w:tc>
          <w:tcPr>
            <w:tcW w:type="dxa" w:w="3118"/>
            <w:shd w:val="clear" w:color="auto" w:fill="F4F5F6"/>
          </w:tcPr>
          <w:p>
            <w:pPr>
              <w:spacing w:before="0" w:after="0"/>
            </w:pPr>
            <w:r>
              <w:rPr>
                <w:rFonts w:ascii="Arial" w:hAnsi="Arial"/>
                <w:b/>
                <w:color w:val="0F1115"/>
                <w:sz w:val="19"/>
              </w:rPr>
              <w:t>Project</w:t>
            </w:r>
          </w:p>
        </w:tc>
        <w:tc>
          <w:tcPr>
            <w:tcW w:type="dxa" w:w="2835"/>
            <w:shd w:val="clear" w:color="auto" w:fill="F4F5F6"/>
          </w:tcPr>
          <w:p>
            <w:pPr>
              <w:spacing w:before="0" w:after="0"/>
            </w:pPr>
            <w:r>
              <w:rPr>
                <w:rFonts w:ascii="Arial" w:hAnsi="Arial"/>
                <w:b/>
                <w:color w:val="0F1115"/>
                <w:sz w:val="19"/>
              </w:rPr>
              <w:t>Owner</w:t>
            </w:r>
          </w:p>
        </w:tc>
        <w:tc>
          <w:tcPr>
            <w:tcW w:type="dxa" w:w="1701"/>
            <w:shd w:val="clear" w:color="auto" w:fill="F4F5F6"/>
          </w:tcPr>
          <w:p>
            <w:pPr>
              <w:spacing w:before="0" w:after="0"/>
            </w:pPr>
            <w:r>
              <w:rPr>
                <w:rFonts w:ascii="Arial" w:hAnsi="Arial"/>
                <w:b/>
                <w:color w:val="0F1115"/>
                <w:sz w:val="19"/>
              </w:rPr>
              <w:t>Planned finish</w:t>
            </w:r>
          </w:p>
        </w:tc>
        <w:tc>
          <w:tcPr>
            <w:tcW w:type="dxa" w:w="1984"/>
            <w:shd w:val="clear" w:color="auto" w:fill="F4F5F6"/>
          </w:tcPr>
          <w:p>
            <w:pPr>
              <w:spacing w:before="0" w:after="0"/>
            </w:pPr>
            <w:r>
              <w:rPr>
                <w:rFonts w:ascii="Arial" w:hAnsi="Arial"/>
                <w:b/>
                <w:color w:val="0F1115"/>
                <w:sz w:val="19"/>
              </w:rPr>
              <w:t>Share of the envelope</w:t>
            </w:r>
          </w:p>
        </w:tc>
      </w:tr>
      <w:tr>
        <w:trPr>
          <w:cantSplit/>
        </w:trPr>
        <w:tc>
          <w:tcPr>
            <w:tcW w:type="dxa" w:w="3118"/>
          </w:tcPr>
          <w:p>
            <w:pPr>
              <w:spacing w:before="0" w:after="0"/>
            </w:pPr>
            <w:r>
              <w:rPr>
                <w:rFonts w:ascii="Arial" w:hAnsi="Arial"/>
                <w:color w:val="0F1115"/>
                <w:sz w:val="19"/>
              </w:rPr>
              <w:t>Billing Engine Rewrite</w:t>
            </w:r>
          </w:p>
        </w:tc>
        <w:tc>
          <w:tcPr>
            <w:tcW w:type="dxa" w:w="2835"/>
          </w:tcPr>
          <w:p>
            <w:pPr>
              <w:spacing w:before="0" w:after="0"/>
            </w:pPr>
            <w:r>
              <w:rPr>
                <w:rFonts w:ascii="Arial" w:hAnsi="Arial"/>
                <w:color w:val="0F1115"/>
                <w:sz w:val="19"/>
              </w:rPr>
              <w:t>Anders (Engineering Manager)</w:t>
            </w:r>
          </w:p>
        </w:tc>
        <w:tc>
          <w:tcPr>
            <w:tcW w:type="dxa" w:w="1701"/>
          </w:tcPr>
          <w:p>
            <w:pPr>
              <w:spacing w:before="0" w:after="0"/>
            </w:pPr>
            <w:r>
              <w:rPr>
                <w:rFonts w:ascii="Arial" w:hAnsi="Arial"/>
                <w:color w:val="0F1115"/>
                <w:sz w:val="19"/>
              </w:rPr>
              <w:t>30 Jun 2027</w:t>
            </w:r>
          </w:p>
        </w:tc>
        <w:tc>
          <w:tcPr>
            <w:tcW w:type="dxa" w:w="1984"/>
          </w:tcPr>
          <w:p>
            <w:pPr>
              <w:spacing w:before="0" w:after="0"/>
            </w:pPr>
            <w:r>
              <w:rPr>
                <w:rFonts w:ascii="Arial" w:hAnsi="Arial"/>
                <w:color w:val="0F1115"/>
                <w:sz w:val="19"/>
              </w:rPr>
              <w:t>780,000</w:t>
            </w:r>
          </w:p>
        </w:tc>
      </w:tr>
      <w:tr>
        <w:trPr>
          <w:cantSplit/>
        </w:trPr>
        <w:tc>
          <w:tcPr>
            <w:tcW w:type="dxa" w:w="3118"/>
          </w:tcPr>
          <w:p>
            <w:pPr>
              <w:spacing w:before="0" w:after="0"/>
            </w:pPr>
            <w:r>
              <w:rPr>
                <w:rFonts w:ascii="Arial" w:hAnsi="Arial"/>
                <w:color w:val="0F1115"/>
                <w:sz w:val="19"/>
              </w:rPr>
              <w:t>Invoice Tax Rules</w:t>
            </w:r>
          </w:p>
        </w:tc>
        <w:tc>
          <w:tcPr>
            <w:tcW w:type="dxa" w:w="2835"/>
          </w:tcPr>
          <w:p>
            <w:pPr>
              <w:spacing w:before="0" w:after="0"/>
            </w:pPr>
            <w:r>
              <w:rPr>
                <w:rFonts w:ascii="Arial" w:hAnsi="Arial"/>
                <w:color w:val="0F1115"/>
                <w:sz w:val="19"/>
              </w:rPr>
              <w:t>Hugo (Program Manager)</w:t>
            </w:r>
          </w:p>
        </w:tc>
        <w:tc>
          <w:tcPr>
            <w:tcW w:type="dxa" w:w="1701"/>
          </w:tcPr>
          <w:p>
            <w:pPr>
              <w:spacing w:before="0" w:after="0"/>
            </w:pPr>
            <w:r>
              <w:rPr>
                <w:rFonts w:ascii="Arial" w:hAnsi="Arial"/>
                <w:color w:val="0F1115"/>
                <w:sz w:val="19"/>
              </w:rPr>
              <w:t>1 Feb 2027</w:t>
            </w:r>
          </w:p>
        </w:tc>
        <w:tc>
          <w:tcPr>
            <w:tcW w:type="dxa" w:w="1984"/>
          </w:tcPr>
          <w:p>
            <w:pPr>
              <w:spacing w:before="0" w:after="0"/>
            </w:pPr>
            <w:r>
              <w:rPr>
                <w:rFonts w:ascii="Arial" w:hAnsi="Arial"/>
                <w:color w:val="0F1115"/>
                <w:sz w:val="19"/>
              </w:rPr>
              <w:t>120,000</w:t>
            </w:r>
          </w:p>
        </w:tc>
      </w:tr>
      <w:tr>
        <w:trPr>
          <w:cantSplit/>
        </w:trPr>
        <w:tc>
          <w:tcPr>
            <w:tcW w:type="dxa" w:w="3118"/>
          </w:tcPr>
          <w:p>
            <w:pPr>
              <w:spacing w:before="0" w:after="0"/>
            </w:pPr>
            <w:r>
              <w:rPr>
                <w:rFonts w:ascii="Arial" w:hAnsi="Arial"/>
                <w:b/>
                <w:color w:val="0F1115"/>
                <w:sz w:val="19"/>
              </w:rPr>
              <w:t>Held back</w:t>
            </w:r>
          </w:p>
        </w:tc>
        <w:tc>
          <w:tcPr>
            <w:tcW w:type="dxa" w:w="2835"/>
          </w:tcPr>
          <w:p>
            <w:pPr>
              <w:spacing w:before="0" w:after="0"/>
            </w:pPr>
          </w:p>
        </w:tc>
        <w:tc>
          <w:tcPr>
            <w:tcW w:type="dxa" w:w="1701"/>
          </w:tcPr>
          <w:p>
            <w:pPr>
              <w:spacing w:before="0" w:after="0"/>
            </w:pPr>
          </w:p>
        </w:tc>
        <w:tc>
          <w:tcPr>
            <w:tcW w:type="dxa" w:w="1984"/>
          </w:tcPr>
          <w:p>
            <w:pPr>
              <w:spacing w:before="0" w:after="0"/>
            </w:pPr>
            <w:r>
              <w:rPr>
                <w:rFonts w:ascii="Arial" w:hAnsi="Arial"/>
                <w:color w:val="0F1115"/>
                <w:sz w:val="19"/>
              </w:rPr>
              <w:t>0</w:t>
            </w:r>
          </w:p>
        </w:tc>
      </w:tr>
      <w:tr>
        <w:trPr>
          <w:cantSplit/>
        </w:trPr>
        <w:tc>
          <w:tcPr>
            <w:tcW w:type="dxa" w:w="3118"/>
          </w:tcPr>
          <w:p>
            <w:pPr>
              <w:spacing w:before="0" w:after="0"/>
            </w:pPr>
            <w:r>
              <w:rPr>
                <w:rFonts w:ascii="Arial" w:hAnsi="Arial"/>
                <w:b/>
                <w:color w:val="0F1115"/>
                <w:sz w:val="19"/>
              </w:rPr>
              <w:t>Total of shares and held back</w:t>
            </w:r>
          </w:p>
        </w:tc>
        <w:tc>
          <w:tcPr>
            <w:tcW w:type="dxa" w:w="2835"/>
          </w:tcPr>
          <w:p>
            <w:pPr>
              <w:spacing w:before="0" w:after="0"/>
            </w:pPr>
          </w:p>
        </w:tc>
        <w:tc>
          <w:tcPr>
            <w:tcW w:type="dxa" w:w="1701"/>
          </w:tcPr>
          <w:p>
            <w:pPr>
              <w:spacing w:before="0" w:after="0"/>
            </w:pPr>
          </w:p>
        </w:tc>
        <w:tc>
          <w:tcPr>
            <w:tcW w:type="dxa" w:w="1984"/>
          </w:tcPr>
          <w:p>
            <w:pPr>
              <w:spacing w:before="0" w:after="0"/>
            </w:pPr>
            <w:r>
              <w:rPr>
                <w:rFonts w:ascii="Arial" w:hAnsi="Arial"/>
                <w:color w:val="0F1115"/>
                <w:sz w:val="19"/>
              </w:rPr>
              <w:t>900,000</w:t>
            </w:r>
          </w:p>
        </w:tc>
      </w:tr>
    </w:tbl>
    <w:p>
      <w:pPr>
        <w:keepNext/>
        <w:spacing w:before="160" w:after="60"/>
      </w:pPr>
      <w:r>
        <w:rPr>
          <w:rFonts w:ascii="Arial" w:hAnsi="Arial"/>
          <w:b/>
          <w:color w:val="0F1115"/>
          <w:sz w:val="21"/>
        </w:rPr>
        <w:t>Tolerances at signing</w:t>
      </w:r>
    </w:p>
    <w:p>
      <w:pPr>
        <w:spacing w:before="0" w:after="80"/>
      </w:pPr>
      <w:r>
        <w:rPr>
          <w:rFonts w:ascii="Arial" w:hAnsi="Arial"/>
          <w:color w:val="0F1115"/>
          <w:sz w:val="21"/>
        </w:rPr>
        <w:t>Cost: 10 percent over the envelope. Benefits: 15 percent short of the planned change. Outcome date: 10 working days late.</w:t>
      </w:r>
    </w:p>
    <w:p>
      <w:pPr>
        <w:pStyle w:val="Heading1"/>
        <w:keepNext/>
      </w:pPr>
      <w:r>
        <w:t>4. Decision points</w:t>
      </w:r>
    </w:p>
    <w:p>
      <w:pPr>
        <w:keepNext/>
        <w:spacing w:before="160" w:after="60"/>
      </w:pPr>
      <w:r>
        <w:rPr>
          <w:rFonts w:ascii="Arial" w:hAnsi="Arial"/>
          <w:b/>
          <w:color w:val="0F1115"/>
          <w:sz w:val="21"/>
        </w:rPr>
        <w:t>Table D: Decision points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1757"/>
        <w:gridCol w:w="1361"/>
        <w:gridCol w:w="1587"/>
        <w:gridCol w:w="1814"/>
        <w:gridCol w:w="3118"/>
      </w:tblGrid>
      <w:tr>
        <w:trPr>
          <w:cantSplit/>
          <w:tblHeader/>
        </w:trPr>
        <w:tc>
          <w:tcPr>
            <w:tcW w:type="dxa" w:w="1757"/>
            <w:shd w:val="clear" w:color="auto" w:fill="F4F5F6"/>
          </w:tcPr>
          <w:p>
            <w:pPr>
              <w:spacing w:before="0" w:after="0"/>
            </w:pPr>
            <w:r>
              <w:rPr>
                <w:rFonts w:ascii="Arial" w:hAnsi="Arial"/>
                <w:b/>
                <w:color w:val="0F1115"/>
                <w:sz w:val="19"/>
              </w:rPr>
              <w:t>Decision point</w:t>
            </w:r>
          </w:p>
        </w:tc>
        <w:tc>
          <w:tcPr>
            <w:tcW w:type="dxa" w:w="1361"/>
            <w:shd w:val="clear" w:color="auto" w:fill="F4F5F6"/>
          </w:tcPr>
          <w:p>
            <w:pPr>
              <w:spacing w:before="0" w:after="0"/>
            </w:pPr>
            <w:r>
              <w:rPr>
                <w:rFonts w:ascii="Arial" w:hAnsi="Arial"/>
                <w:b/>
                <w:color w:val="0F1115"/>
                <w:sz w:val="19"/>
              </w:rPr>
              <w:t>Date</w:t>
            </w:r>
          </w:p>
        </w:tc>
        <w:tc>
          <w:tcPr>
            <w:tcW w:type="dxa" w:w="1587"/>
            <w:shd w:val="clear" w:color="auto" w:fill="F4F5F6"/>
          </w:tcPr>
          <w:p>
            <w:pPr>
              <w:spacing w:before="0" w:after="0"/>
            </w:pPr>
            <w:r>
              <w:rPr>
                <w:rFonts w:ascii="Arial" w:hAnsi="Arial"/>
                <w:b/>
                <w:color w:val="0F1115"/>
                <w:sz w:val="19"/>
              </w:rPr>
              <w:t>Decides</w:t>
            </w:r>
          </w:p>
        </w:tc>
        <w:tc>
          <w:tcPr>
            <w:tcW w:type="dxa" w:w="1814"/>
            <w:shd w:val="clear" w:color="auto" w:fill="F4F5F6"/>
          </w:tcPr>
          <w:p>
            <w:pPr>
              <w:spacing w:before="0" w:after="0"/>
            </w:pPr>
            <w:r>
              <w:rPr>
                <w:rFonts w:ascii="Arial" w:hAnsi="Arial"/>
                <w:b/>
                <w:color w:val="0F1115"/>
                <w:sz w:val="19"/>
              </w:rPr>
              <w:t>Consulted</w:t>
            </w:r>
          </w:p>
        </w:tc>
        <w:tc>
          <w:tcPr>
            <w:tcW w:type="dxa" w:w="3118"/>
            <w:shd w:val="clear" w:color="auto" w:fill="F4F5F6"/>
          </w:tcPr>
          <w:p>
            <w:pPr>
              <w:spacing w:before="0" w:after="0"/>
            </w:pPr>
            <w:r>
              <w:rPr>
                <w:rFonts w:ascii="Arial" w:hAnsi="Arial"/>
                <w:b/>
                <w:color w:val="0F1115"/>
                <w:sz w:val="19"/>
              </w:rPr>
              <w:t>Evidence looked at</w:t>
            </w:r>
          </w:p>
        </w:tc>
      </w:tr>
      <w:tr>
        <w:trPr>
          <w:cantSplit/>
        </w:trPr>
        <w:tc>
          <w:tcPr>
            <w:tcW w:type="dxa" w:w="1757"/>
          </w:tcPr>
          <w:p>
            <w:pPr>
              <w:spacing w:before="0" w:after="0"/>
            </w:pPr>
            <w:r>
              <w:rPr>
                <w:rFonts w:ascii="Arial" w:hAnsi="Arial"/>
                <w:color w:val="0F1115"/>
                <w:sz w:val="19"/>
              </w:rPr>
              <w:t>Investment decision, Mar 2026</w:t>
            </w:r>
          </w:p>
        </w:tc>
        <w:tc>
          <w:tcPr>
            <w:tcW w:type="dxa" w:w="1361"/>
          </w:tcPr>
          <w:p>
            <w:pPr>
              <w:spacing w:before="0" w:after="0"/>
            </w:pPr>
            <w:r>
              <w:rPr>
                <w:rFonts w:ascii="Arial" w:hAnsi="Arial"/>
                <w:color w:val="0F1115"/>
                <w:sz w:val="19"/>
              </w:rPr>
              <w:t>5 Mar 2026</w:t>
            </w:r>
          </w:p>
        </w:tc>
        <w:tc>
          <w:tcPr>
            <w:tcW w:type="dxa" w:w="1587"/>
          </w:tcPr>
          <w:p>
            <w:pPr>
              <w:spacing w:before="0" w:after="0"/>
            </w:pPr>
            <w:r>
              <w:rPr>
                <w:rFonts w:ascii="Arial" w:hAnsi="Arial"/>
                <w:color w:val="0F1115"/>
                <w:sz w:val="19"/>
              </w:rPr>
              <w:t>Priya (CTO)</w:t>
            </w:r>
          </w:p>
        </w:tc>
        <w:tc>
          <w:tcPr>
            <w:tcW w:type="dxa" w:w="1814"/>
          </w:tcPr>
          <w:p>
            <w:pPr>
              <w:spacing w:before="0" w:after="0"/>
            </w:pPr>
            <w:r>
              <w:rPr>
                <w:rFonts w:ascii="Arial" w:hAnsi="Arial"/>
                <w:color w:val="0F1115"/>
                <w:sz w:val="19"/>
              </w:rPr>
              <w:t>Anders (Engineering Manager), Rhys (Finance Operations Lead)</w:t>
            </w:r>
          </w:p>
        </w:tc>
        <w:tc>
          <w:tcPr>
            <w:tcW w:type="dxa" w:w="3118"/>
          </w:tcPr>
          <w:p>
            <w:pPr>
              <w:spacing w:before="0" w:after="0"/>
            </w:pPr>
            <w:r>
              <w:rPr>
                <w:rFonts w:ascii="Arial" w:hAnsi="Arial"/>
                <w:color w:val="0F1115"/>
                <w:sz w:val="19"/>
              </w:rPr>
              <w:t>Benefits: three, with owners; one baseline not yet measured.</w:t>
            </w:r>
          </w:p>
          <w:p>
            <w:pPr>
              <w:spacing w:before="0" w:after="0"/>
            </w:pPr>
            <w:r>
              <w:rPr>
                <w:rFonts w:ascii="Arial" w:hAnsi="Arial"/>
                <w:color w:val="0F1115"/>
                <w:sz w:val="19"/>
              </w:rPr>
              <w:t>Budget 900,000; Billing Engine Rewrite's share set.</w:t>
            </w:r>
          </w:p>
          <w:p>
            <w:pPr>
              <w:spacing w:before="0" w:after="0"/>
            </w:pPr>
            <w:r>
              <w:rPr>
                <w:rFonts w:ascii="Arial" w:hAnsi="Arial"/>
                <w:color w:val="0F1115"/>
                <w:sz w:val="19"/>
              </w:rPr>
              <w:t>Program manager Hugo (Program Manager); sponsor not yet named.</w:t>
            </w:r>
          </w:p>
          <w:p>
            <w:pPr>
              <w:spacing w:before="0" w:after="0"/>
            </w:pPr>
            <w:r>
              <w:rPr>
                <w:rFonts w:ascii="Arial" w:hAnsi="Arial"/>
                <w:color w:val="0F1115"/>
                <w:sz w:val="19"/>
              </w:rPr>
              <w:t>Billing Engine Rewrite, Planned finish 30 Jun 2027.</w:t>
            </w:r>
          </w:p>
          <w:p>
            <w:pPr>
              <w:spacing w:before="0" w:after="0"/>
            </w:pPr>
            <w:r>
              <w:rPr>
                <w:rFonts w:ascii="Arial" w:hAnsi="Arial"/>
                <w:color w:val="0F1115"/>
                <w:sz w:val="19"/>
              </w:rPr>
              <w:t>Dependencies: none yet written down.</w:t>
            </w:r>
          </w:p>
        </w:tc>
      </w:tr>
      <w:tr>
        <w:trPr>
          <w:cantSplit/>
        </w:trPr>
        <w:tc>
          <w:tcPr>
            <w:tcW w:type="dxa" w:w="1757"/>
          </w:tcPr>
          <w:p>
            <w:pPr>
              <w:spacing w:before="0" w:after="0"/>
            </w:pPr>
            <w:r>
              <w:rPr>
                <w:rFonts w:ascii="Arial" w:hAnsi="Arial"/>
                <w:color w:val="0F1115"/>
                <w:sz w:val="19"/>
              </w:rPr>
              <w:t>Strategic review, Jan 2027</w:t>
            </w:r>
          </w:p>
        </w:tc>
        <w:tc>
          <w:tcPr>
            <w:tcW w:type="dxa" w:w="1361"/>
          </w:tcPr>
          <w:p>
            <w:pPr>
              <w:spacing w:before="0" w:after="0"/>
            </w:pPr>
            <w:r>
              <w:rPr>
                <w:rFonts w:ascii="Arial" w:hAnsi="Arial"/>
                <w:color w:val="0F1115"/>
                <w:sz w:val="19"/>
              </w:rPr>
              <w:t>29 Jan 2027</w:t>
            </w:r>
          </w:p>
        </w:tc>
        <w:tc>
          <w:tcPr>
            <w:tcW w:type="dxa" w:w="1587"/>
          </w:tcPr>
          <w:p>
            <w:pPr>
              <w:spacing w:before="0" w:after="0"/>
            </w:pPr>
            <w:r>
              <w:rPr>
                <w:rFonts w:ascii="Arial" w:hAnsi="Arial"/>
                <w:color w:val="0F1115"/>
                <w:sz w:val="19"/>
              </w:rPr>
              <w:t>Not yet named</w:t>
            </w:r>
          </w:p>
        </w:tc>
        <w:tc>
          <w:tcPr>
            <w:tcW w:type="dxa" w:w="1814"/>
          </w:tcPr>
          <w:p>
            <w:pPr>
              <w:spacing w:before="0" w:after="0"/>
            </w:pPr>
            <w:r>
              <w:rPr>
                <w:rFonts w:ascii="Arial" w:hAnsi="Arial"/>
                <w:color w:val="0F1115"/>
                <w:sz w:val="19"/>
              </w:rPr>
              <w:t>Anders (Engineering Manager), Rhys (Finance Operations Lead)</w:t>
            </w:r>
          </w:p>
        </w:tc>
        <w:tc>
          <w:tcPr>
            <w:tcW w:type="dxa" w:w="3118"/>
          </w:tcPr>
          <w:p>
            <w:pPr>
              <w:spacing w:before="0" w:after="0"/>
            </w:pPr>
            <w:r>
              <w:rPr>
                <w:rFonts w:ascii="Arial" w:hAnsi="Arial"/>
                <w:color w:val="0F1115"/>
                <w:sz w:val="19"/>
              </w:rPr>
              <w:t>To look at: benefits read so far, any tolerance crossed, the dependencies, the outcome date.</w:t>
            </w:r>
          </w:p>
        </w:tc>
      </w:tr>
      <w:tr>
        <w:trPr>
          <w:cantSplit/>
        </w:trPr>
        <w:tc>
          <w:tcPr>
            <w:tcW w:type="dxa" w:w="1757"/>
          </w:tcPr>
          <w:p>
            <w:pPr>
              <w:spacing w:before="0" w:after="0"/>
            </w:pPr>
            <w:r>
              <w:rPr>
                <w:rFonts w:ascii="Arial" w:hAnsi="Arial"/>
                <w:color w:val="0F1115"/>
                <w:sz w:val="19"/>
              </w:rPr>
              <w:t>Strategic review, Apr 2027</w:t>
            </w:r>
          </w:p>
        </w:tc>
        <w:tc>
          <w:tcPr>
            <w:tcW w:type="dxa" w:w="1361"/>
          </w:tcPr>
          <w:p>
            <w:pPr>
              <w:spacing w:before="0" w:after="0"/>
            </w:pPr>
            <w:r>
              <w:rPr>
                <w:rFonts w:ascii="Arial" w:hAnsi="Arial"/>
                <w:color w:val="0F1115"/>
                <w:sz w:val="19"/>
              </w:rPr>
              <w:t>30 Apr 2027</w:t>
            </w:r>
          </w:p>
        </w:tc>
        <w:tc>
          <w:tcPr>
            <w:tcW w:type="dxa" w:w="1587"/>
          </w:tcPr>
          <w:p>
            <w:pPr>
              <w:spacing w:before="0" w:after="0"/>
            </w:pPr>
            <w:r>
              <w:rPr>
                <w:rFonts w:ascii="Arial" w:hAnsi="Arial"/>
                <w:color w:val="0F1115"/>
                <w:sz w:val="19"/>
              </w:rPr>
              <w:t>Not yet named</w:t>
            </w:r>
          </w:p>
        </w:tc>
        <w:tc>
          <w:tcPr>
            <w:tcW w:type="dxa" w:w="1814"/>
          </w:tcPr>
          <w:p>
            <w:pPr>
              <w:spacing w:before="0" w:after="0"/>
            </w:pPr>
            <w:r>
              <w:rPr>
                <w:rFonts w:ascii="Arial" w:hAnsi="Arial"/>
                <w:color w:val="0F1115"/>
                <w:sz w:val="19"/>
              </w:rPr>
              <w:t>Anders (Engineering Manager), Rhys (Finance Operations Lead)</w:t>
            </w:r>
          </w:p>
        </w:tc>
        <w:tc>
          <w:tcPr>
            <w:tcW w:type="dxa" w:w="3118"/>
          </w:tcPr>
          <w:p>
            <w:pPr>
              <w:spacing w:before="0" w:after="0"/>
            </w:pPr>
            <w:r>
              <w:rPr>
                <w:rFonts w:ascii="Arial" w:hAnsi="Arial"/>
                <w:color w:val="0F1115"/>
                <w:sz w:val="19"/>
              </w:rPr>
              <w:t>To look at: benefits read so far, any tolerance crossed, the dependencies, the outcome date.</w:t>
            </w:r>
          </w:p>
        </w:tc>
      </w:tr>
      <w:tr>
        <w:trPr>
          <w:cantSplit/>
        </w:trPr>
        <w:tc>
          <w:tcPr>
            <w:tcW w:type="dxa" w:w="1757"/>
          </w:tcPr>
          <w:p>
            <w:pPr>
              <w:spacing w:before="0" w:after="0"/>
            </w:pPr>
            <w:r>
              <w:rPr>
                <w:rFonts w:ascii="Arial" w:hAnsi="Arial"/>
                <w:color w:val="0F1115"/>
                <w:sz w:val="19"/>
              </w:rPr>
              <w:t>Strategic review, at close</w:t>
            </w:r>
          </w:p>
        </w:tc>
        <w:tc>
          <w:tcPr>
            <w:tcW w:type="dxa" w:w="1361"/>
          </w:tcPr>
          <w:p>
            <w:pPr>
              <w:spacing w:before="0" w:after="0"/>
            </w:pPr>
            <w:r>
              <w:rPr>
                <w:rFonts w:ascii="Arial" w:hAnsi="Arial"/>
                <w:color w:val="0F1115"/>
                <w:sz w:val="19"/>
              </w:rPr>
              <w:t>30 Jun 2027</w:t>
            </w:r>
          </w:p>
        </w:tc>
        <w:tc>
          <w:tcPr>
            <w:tcW w:type="dxa" w:w="1587"/>
          </w:tcPr>
          <w:p>
            <w:pPr>
              <w:spacing w:before="0" w:after="0"/>
            </w:pPr>
            <w:r>
              <w:rPr>
                <w:rFonts w:ascii="Arial" w:hAnsi="Arial"/>
                <w:color w:val="0F1115"/>
                <w:sz w:val="19"/>
              </w:rPr>
              <w:t>Not yet named</w:t>
            </w:r>
          </w:p>
        </w:tc>
        <w:tc>
          <w:tcPr>
            <w:tcW w:type="dxa" w:w="1814"/>
          </w:tcPr>
          <w:p>
            <w:pPr>
              <w:spacing w:before="0" w:after="0"/>
            </w:pPr>
            <w:r>
              <w:rPr>
                <w:rFonts w:ascii="Arial" w:hAnsi="Arial"/>
                <w:color w:val="0F1115"/>
                <w:sz w:val="19"/>
              </w:rPr>
              <w:t>Anders (Engineering Manager), Rhys (Finance Operations Lead)</w:t>
            </w:r>
          </w:p>
        </w:tc>
        <w:tc>
          <w:tcPr>
            <w:tcW w:type="dxa" w:w="3118"/>
          </w:tcPr>
          <w:p>
            <w:pPr>
              <w:spacing w:before="0" w:after="0"/>
            </w:pPr>
            <w:r>
              <w:rPr>
                <w:rFonts w:ascii="Arial" w:hAnsi="Arial"/>
                <w:color w:val="0F1115"/>
                <w:sz w:val="19"/>
              </w:rPr>
              <w:t>To look at: benefits read so far, any tolerance crossed, the dependencies, the outcome date.</w:t>
            </w:r>
          </w:p>
        </w:tc>
      </w:tr>
    </w:tbl>
    <w:p>
      <w:pPr>
        <w:pStyle w:val="Heading1"/>
        <w:keepNext/>
      </w:pPr>
      <w:r>
        <w:t>5. Dependencies at signing</w:t>
      </w:r>
    </w:p>
    <w:p>
      <w:pPr>
        <w:keepNext/>
        <w:spacing w:before="160" w:after="60"/>
      </w:pPr>
      <w:r>
        <w:rPr>
          <w:rFonts w:ascii="Arial" w:hAnsi="Arial"/>
          <w:b/>
          <w:color w:val="0F1115"/>
          <w:sz w:val="21"/>
        </w:rPr>
        <w:t>Table E: Dependencies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3402"/>
        <w:gridCol w:w="2268"/>
        <w:gridCol w:w="1417"/>
        <w:gridCol w:w="2551"/>
      </w:tblGrid>
      <w:tr>
        <w:trPr>
          <w:cantSplit/>
          <w:tblHeader/>
        </w:trPr>
        <w:tc>
          <w:tcPr>
            <w:tcW w:type="dxa" w:w="3402"/>
            <w:shd w:val="clear" w:color="auto" w:fill="F4F5F6"/>
          </w:tcPr>
          <w:p>
            <w:pPr>
              <w:spacing w:before="0" w:after="0"/>
            </w:pPr>
            <w:r>
              <w:rPr>
                <w:rFonts w:ascii="Arial" w:hAnsi="Arial"/>
                <w:b/>
                <w:color w:val="0F1115"/>
                <w:sz w:val="19"/>
              </w:rPr>
              <w:t>Needs</w:t>
            </w:r>
          </w:p>
        </w:tc>
        <w:tc>
          <w:tcPr>
            <w:tcW w:type="dxa" w:w="2268"/>
            <w:shd w:val="clear" w:color="auto" w:fill="F4F5F6"/>
          </w:tcPr>
          <w:p>
            <w:pPr>
              <w:spacing w:before="0" w:after="0"/>
            </w:pPr>
            <w:r>
              <w:rPr>
                <w:rFonts w:ascii="Arial" w:hAnsi="Arial"/>
                <w:b/>
                <w:color w:val="0F1115"/>
                <w:sz w:val="19"/>
              </w:rPr>
              <w:t>Provided by</w:t>
            </w:r>
          </w:p>
        </w:tc>
        <w:tc>
          <w:tcPr>
            <w:tcW w:type="dxa" w:w="1417"/>
            <w:shd w:val="clear" w:color="auto" w:fill="F4F5F6"/>
          </w:tcPr>
          <w:p>
            <w:pPr>
              <w:spacing w:before="0" w:after="0"/>
            </w:pPr>
            <w:r>
              <w:rPr>
                <w:rFonts w:ascii="Arial" w:hAnsi="Arial"/>
                <w:b/>
                <w:color w:val="0F1115"/>
                <w:sz w:val="19"/>
              </w:rPr>
              <w:t>Needed by</w:t>
            </w:r>
          </w:p>
        </w:tc>
        <w:tc>
          <w:tcPr>
            <w:tcW w:type="dxa" w:w="2551"/>
            <w:shd w:val="clear" w:color="auto" w:fill="F4F5F6"/>
          </w:tcPr>
          <w:p>
            <w:pPr>
              <w:spacing w:before="0" w:after="0"/>
            </w:pPr>
            <w:r>
              <w:rPr>
                <w:rFonts w:ascii="Arial" w:hAnsi="Arial"/>
                <w:b/>
                <w:color w:val="0F1115"/>
                <w:sz w:val="19"/>
              </w:rPr>
              <w:t>Who answers</w:t>
            </w:r>
          </w:p>
        </w:tc>
      </w:tr>
      <w:tr>
        <w:trPr>
          <w:cantSplit/>
        </w:trPr>
        <w:tc>
          <w:tcPr>
            <w:tcW w:type="dxa" w:w="3402"/>
          </w:tcPr>
          <w:p>
            <w:pPr>
              <w:spacing w:before="0" w:after="0"/>
            </w:pPr>
            <w:r>
              <w:rPr>
                <w:rFonts w:ascii="Arial" w:hAnsi="Arial"/>
                <w:color w:val="0F1115"/>
                <w:sz w:val="19"/>
              </w:rPr>
              <w:t>Tax rules for customers outside the US in the second wave</w:t>
            </w:r>
          </w:p>
        </w:tc>
        <w:tc>
          <w:tcPr>
            <w:tcW w:type="dxa" w:w="2268"/>
          </w:tcPr>
          <w:p>
            <w:pPr>
              <w:spacing w:before="0" w:after="0"/>
            </w:pPr>
            <w:r>
              <w:rPr>
                <w:rFonts w:ascii="Arial" w:hAnsi="Arial"/>
                <w:color w:val="0F1115"/>
                <w:sz w:val="19"/>
              </w:rPr>
              <w:t>Invoice Tax Rules</w:t>
            </w:r>
          </w:p>
        </w:tc>
        <w:tc>
          <w:tcPr>
            <w:tcW w:type="dxa" w:w="1417"/>
          </w:tcPr>
          <w:p>
            <w:pPr>
              <w:spacing w:before="0" w:after="0"/>
            </w:pPr>
            <w:r>
              <w:rPr>
                <w:rFonts w:ascii="Arial" w:hAnsi="Arial"/>
                <w:color w:val="0F1115"/>
                <w:sz w:val="19"/>
              </w:rPr>
              <w:t>1 Feb 2027</w:t>
            </w:r>
          </w:p>
        </w:tc>
        <w:tc>
          <w:tcPr>
            <w:tcW w:type="dxa" w:w="2551"/>
          </w:tcPr>
          <w:p>
            <w:pPr>
              <w:spacing w:before="0" w:after="0"/>
            </w:pPr>
            <w:r>
              <w:rPr>
                <w:rFonts w:ascii="Arial" w:hAnsi="Arial"/>
                <w:color w:val="0F1115"/>
                <w:sz w:val="19"/>
              </w:rPr>
              <w:t>Hugo (Program Manager)</w:t>
            </w:r>
          </w:p>
        </w:tc>
      </w:tr>
      <w:tr>
        <w:trPr>
          <w:cantSplit/>
        </w:trPr>
        <w:tc>
          <w:tcPr>
            <w:tcW w:type="dxa" w:w="3402"/>
          </w:tcPr>
          <w:p>
            <w:pPr>
              <w:spacing w:before="0" w:after="0"/>
            </w:pPr>
            <w:r>
              <w:rPr>
                <w:rFonts w:ascii="Arial" w:hAnsi="Arial"/>
                <w:color w:val="0F1115"/>
                <w:sz w:val="19"/>
              </w:rPr>
              <w:t>Customer accounts for the second wave, a milestone in Data Migration Wave 2</w:t>
            </w:r>
          </w:p>
        </w:tc>
        <w:tc>
          <w:tcPr>
            <w:tcW w:type="dxa" w:w="2268"/>
          </w:tcPr>
          <w:p>
            <w:pPr>
              <w:spacing w:before="0" w:after="0"/>
            </w:pPr>
            <w:r>
              <w:rPr>
                <w:rFonts w:ascii="Arial" w:hAnsi="Arial"/>
                <w:color w:val="0F1115"/>
                <w:sz w:val="19"/>
              </w:rPr>
              <w:t>Data Migration Wave 2</w:t>
            </w:r>
          </w:p>
        </w:tc>
        <w:tc>
          <w:tcPr>
            <w:tcW w:type="dxa" w:w="1417"/>
          </w:tcPr>
          <w:p>
            <w:pPr>
              <w:spacing w:before="0" w:after="0"/>
            </w:pPr>
            <w:r>
              <w:rPr>
                <w:rFonts w:ascii="Arial" w:hAnsi="Arial"/>
                <w:color w:val="0F1115"/>
                <w:sz w:val="19"/>
              </w:rPr>
              <w:t>29 Jan 2027</w:t>
            </w:r>
          </w:p>
        </w:tc>
        <w:tc>
          <w:tcPr>
            <w:tcW w:type="dxa" w:w="2551"/>
          </w:tcPr>
          <w:p>
            <w:pPr>
              <w:spacing w:before="0" w:after="0"/>
            </w:pPr>
            <w:r>
              <w:rPr>
                <w:rFonts w:ascii="Arial" w:hAnsi="Arial"/>
                <w:color w:val="0F1115"/>
                <w:sz w:val="19"/>
              </w:rPr>
              <w:t>Kofi (Delivery Lead)</w:t>
            </w:r>
          </w:p>
        </w:tc>
      </w:tr>
    </w:tbl>
    <w:p>
      <w:pPr>
        <w:spacing w:before="60" w:after="80"/>
      </w:pPr>
      <w:r>
        <w:rPr>
          <w:rFonts w:ascii="Arial" w:hAnsi="Arial"/>
          <w:color w:val="0F1115"/>
          <w:sz w:val="21"/>
        </w:rPr>
        <w:t>The new engine carries the US tax rules itself. Customers outside the US and on annual contracts move in the second wave, from 1 Feb 2027, and need both of these.</w:t>
      </w:r>
    </w:p>
    <w:p>
      <w:pPr>
        <w:pStyle w:val="Heading1"/>
        <w:keepNext/>
      </w:pPr>
      <w:r>
        <w:t>6. Will not do</w:t>
      </w:r>
    </w:p>
    <w:p>
      <w:pPr>
        <w:pStyle w:val="ListBullet"/>
        <w:spacing w:before="0" w:after="40"/>
      </w:pPr>
      <w:r>
        <w:rPr>
          <w:rFonts w:ascii="Arial" w:hAnsi="Arial"/>
          <w:color w:val="0F1115"/>
          <w:sz w:val="21"/>
        </w:rPr>
        <w:t>Change prices or plans.</w:t>
      </w:r>
    </w:p>
    <w:p>
      <w:pPr>
        <w:pStyle w:val="ListBullet"/>
        <w:spacing w:before="0" w:after="40"/>
      </w:pPr>
      <w:r>
        <w:rPr>
          <w:rFonts w:ascii="Arial" w:hAnsi="Arial"/>
          <w:color w:val="0F1115"/>
          <w:sz w:val="21"/>
        </w:rPr>
        <w:t>Build the invoice screens partners see; Partner Portal Launch does that.</w:t>
      </w:r>
    </w:p>
    <w:p>
      <w:pPr>
        <w:pStyle w:val="ListBullet"/>
        <w:spacing w:before="0" w:after="40"/>
      </w:pPr>
      <w:r>
        <w:rPr>
          <w:rFonts w:ascii="Arial" w:hAnsi="Arial"/>
          <w:color w:val="0F1115"/>
          <w:sz w:val="21"/>
        </w:rPr>
        <w:t>Move customer data to the new customer platform, which is Data Migration Wave 2's work.</w:t>
      </w:r>
    </w:p>
    <w:p>
      <w:pPr>
        <w:pStyle w:val="Heading1"/>
        <w:keepNext/>
      </w:pPr>
      <w:r>
        <w:t>7. Program board and benefits after close</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835"/>
        <w:gridCol w:w="6803"/>
      </w:tblGrid>
      <w:tr>
        <w:trPr>
          <w:cantSplit/>
        </w:trPr>
        <w:tc>
          <w:tcPr>
            <w:tcW w:type="dxa" w:w="2835"/>
            <w:shd w:val="clear" w:color="auto" w:fill="F4F5F6"/>
          </w:tcPr>
          <w:p>
            <w:pPr>
              <w:spacing w:before="0" w:after="0"/>
            </w:pPr>
            <w:r>
              <w:rPr>
                <w:rFonts w:ascii="Arial" w:hAnsi="Arial"/>
                <w:b/>
                <w:color w:val="0F1115"/>
                <w:sz w:val="19"/>
              </w:rPr>
              <w:t>Program board</w:t>
            </w:r>
          </w:p>
        </w:tc>
        <w:tc>
          <w:tcPr>
            <w:tcW w:type="dxa" w:w="6803"/>
          </w:tcPr>
          <w:p>
            <w:pPr>
              <w:spacing w:before="0" w:after="0"/>
            </w:pPr>
            <w:r>
              <w:rPr>
                <w:rFonts w:ascii="Arial" w:hAnsi="Arial"/>
                <w:color w:val="0F1115"/>
                <w:sz w:val="19"/>
              </w:rPr>
              <w:t>Hugo (Program Manager), Anders (Engineering Manager), Rhys (Finance Operations Lead)</w:t>
            </w:r>
          </w:p>
        </w:tc>
      </w:tr>
      <w:tr>
        <w:trPr>
          <w:cantSplit/>
        </w:trPr>
        <w:tc>
          <w:tcPr>
            <w:tcW w:type="dxa" w:w="2835"/>
            <w:shd w:val="clear" w:color="auto" w:fill="F4F5F6"/>
          </w:tcPr>
          <w:p>
            <w:pPr>
              <w:spacing w:before="0" w:after="0"/>
            </w:pPr>
            <w:r>
              <w:rPr>
                <w:rFonts w:ascii="Arial" w:hAnsi="Arial"/>
                <w:b/>
                <w:color w:val="0F1115"/>
                <w:sz w:val="19"/>
              </w:rPr>
              <w:t>Takes the benefits at close</w:t>
            </w:r>
          </w:p>
        </w:tc>
        <w:tc>
          <w:tcPr>
            <w:tcW w:type="dxa" w:w="6803"/>
          </w:tcPr>
          <w:p>
            <w:pPr>
              <w:spacing w:before="0" w:after="0"/>
            </w:pPr>
          </w:p>
        </w:tc>
      </w:tr>
    </w:tbl>
    <w:p>
      <w:pPr>
        <w:pStyle w:val="Heading1"/>
        <w:keepNext/>
      </w:pPr>
      <w:r>
        <w:t>8. Changing this charter</w:t>
      </w:r>
    </w:p>
    <w:p>
      <w:pPr>
        <w:spacing w:before="0" w:after="80"/>
      </w:pPr>
      <w:r>
        <w:rPr>
          <w:rFonts w:ascii="Arial" w:hAnsi="Arial"/>
          <w:color w:val="0F1115"/>
          <w:sz w:val="21"/>
        </w:rPr>
        <w:t>To change anything in the header or in Tables A to E, write it in Table F first, with the old value, the new one and why. It makes the next edition, and everyone in section 9 signs again. A rename on the Register, or a typing mistake put right, is a row marked name only: same edition, no new signatures.</w:t>
      </w:r>
    </w:p>
    <w:p>
      <w:pPr>
        <w:keepNext/>
        <w:spacing w:before="160" w:after="60"/>
      </w:pPr>
      <w:r>
        <w:rPr>
          <w:rFonts w:ascii="Arial" w:hAnsi="Arial"/>
          <w:b/>
          <w:color w:val="0F1115"/>
          <w:sz w:val="21"/>
        </w:rPr>
        <w:t>Table F: Changes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907"/>
        <w:gridCol w:w="1361"/>
        <w:gridCol w:w="3288"/>
        <w:gridCol w:w="2381"/>
        <w:gridCol w:w="1701"/>
      </w:tblGrid>
      <w:tr>
        <w:trPr>
          <w:cantSplit/>
          <w:tblHeader/>
        </w:trPr>
        <w:tc>
          <w:tcPr>
            <w:tcW w:type="dxa" w:w="907"/>
            <w:shd w:val="clear" w:color="auto" w:fill="F4F5F6"/>
          </w:tcPr>
          <w:p>
            <w:pPr>
              <w:spacing w:before="0" w:after="0"/>
            </w:pPr>
            <w:r>
              <w:rPr>
                <w:rFonts w:ascii="Arial" w:hAnsi="Arial"/>
                <w:b/>
                <w:color w:val="0F1115"/>
                <w:sz w:val="19"/>
              </w:rPr>
              <w:t>Edition</w:t>
            </w:r>
          </w:p>
        </w:tc>
        <w:tc>
          <w:tcPr>
            <w:tcW w:type="dxa" w:w="1361"/>
            <w:shd w:val="clear" w:color="auto" w:fill="F4F5F6"/>
          </w:tcPr>
          <w:p>
            <w:pPr>
              <w:spacing w:before="0" w:after="0"/>
            </w:pPr>
            <w:r>
              <w:rPr>
                <w:rFonts w:ascii="Arial" w:hAnsi="Arial"/>
                <w:b/>
                <w:color w:val="0F1115"/>
                <w:sz w:val="19"/>
              </w:rPr>
              <w:t>Date</w:t>
            </w:r>
          </w:p>
        </w:tc>
        <w:tc>
          <w:tcPr>
            <w:tcW w:type="dxa" w:w="3288"/>
            <w:shd w:val="clear" w:color="auto" w:fill="F4F5F6"/>
          </w:tcPr>
          <w:p>
            <w:pPr>
              <w:spacing w:before="0" w:after="0"/>
            </w:pPr>
            <w:r>
              <w:rPr>
                <w:rFonts w:ascii="Arial" w:hAnsi="Arial"/>
                <w:b/>
                <w:color w:val="0F1115"/>
                <w:sz w:val="19"/>
              </w:rPr>
              <w:t>What changed</w:t>
            </w:r>
          </w:p>
        </w:tc>
        <w:tc>
          <w:tcPr>
            <w:tcW w:type="dxa" w:w="2381"/>
            <w:shd w:val="clear" w:color="auto" w:fill="F4F5F6"/>
          </w:tcPr>
          <w:p>
            <w:pPr>
              <w:spacing w:before="0" w:after="0"/>
            </w:pPr>
            <w:r>
              <w:rPr>
                <w:rFonts w:ascii="Arial" w:hAnsi="Arial"/>
                <w:b/>
                <w:color w:val="0F1115"/>
                <w:sz w:val="19"/>
              </w:rPr>
              <w:t>Why</w:t>
            </w:r>
          </w:p>
        </w:tc>
        <w:tc>
          <w:tcPr>
            <w:tcW w:type="dxa" w:w="1701"/>
            <w:shd w:val="clear" w:color="auto" w:fill="F4F5F6"/>
          </w:tcPr>
          <w:p>
            <w:pPr>
              <w:spacing w:before="0" w:after="0"/>
            </w:pPr>
            <w:r>
              <w:rPr>
                <w:rFonts w:ascii="Arial" w:hAnsi="Arial"/>
                <w:b/>
                <w:color w:val="0F1115"/>
                <w:sz w:val="19"/>
              </w:rPr>
              <w:t>Decided by</w:t>
            </w:r>
          </w:p>
        </w:tc>
      </w:tr>
      <w:tr>
        <w:trPr>
          <w:cantSplit/>
        </w:trPr>
        <w:tc>
          <w:tcPr>
            <w:tcW w:type="dxa" w:w="907"/>
          </w:tcPr>
          <w:p>
            <w:pPr>
              <w:spacing w:before="0" w:after="0"/>
            </w:pPr>
          </w:p>
        </w:tc>
        <w:tc>
          <w:tcPr>
            <w:tcW w:type="dxa" w:w="1361"/>
          </w:tcPr>
          <w:p>
            <w:pPr>
              <w:spacing w:before="0" w:after="0"/>
            </w:pPr>
          </w:p>
        </w:tc>
        <w:tc>
          <w:tcPr>
            <w:tcW w:type="dxa" w:w="3288"/>
          </w:tcPr>
          <w:p>
            <w:pPr>
              <w:spacing w:before="0" w:after="0"/>
            </w:pPr>
            <w:r>
              <w:rPr>
                <w:rFonts w:ascii="Arial" w:hAnsi="Arial"/>
                <w:color w:val="0F1115"/>
                <w:sz w:val="19"/>
              </w:rPr>
              <w:t>No changes yet.</w:t>
            </w:r>
          </w:p>
        </w:tc>
        <w:tc>
          <w:tcPr>
            <w:tcW w:type="dxa" w:w="2381"/>
          </w:tcPr>
          <w:p>
            <w:pPr>
              <w:spacing w:before="0" w:after="0"/>
            </w:pPr>
          </w:p>
        </w:tc>
        <w:tc>
          <w:tcPr>
            <w:tcW w:type="dxa" w:w="1701"/>
          </w:tcPr>
          <w:p>
            <w:pPr>
              <w:spacing w:before="0" w:after="0"/>
            </w:pPr>
          </w:p>
        </w:tc>
      </w:tr>
    </w:tbl>
    <w:p>
      <w:pPr>
        <w:pStyle w:val="Heading1"/>
        <w:keepNext/>
      </w:pPr>
      <w:r>
        <w:t>9. Sign-off</w:t>
      </w:r>
    </w:p>
    <w:p>
      <w:pPr>
        <w:keepNext/>
        <w:spacing w:before="160" w:after="60"/>
      </w:pPr>
      <w:r>
        <w:rPr>
          <w:rFonts w:ascii="Arial" w:hAnsi="Arial"/>
          <w:b/>
          <w:color w:val="0F1115"/>
          <w:sz w:val="21"/>
        </w:rPr>
        <w:t>Table G: Signatures</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1701"/>
        <w:gridCol w:w="1587"/>
        <w:gridCol w:w="2608"/>
        <w:gridCol w:w="1247"/>
        <w:gridCol w:w="1361"/>
        <w:gridCol w:w="1134"/>
      </w:tblGrid>
      <w:tr>
        <w:trPr>
          <w:cantSplit/>
          <w:tblHeader/>
        </w:trPr>
        <w:tc>
          <w:tcPr>
            <w:tcW w:type="dxa" w:w="1701"/>
            <w:shd w:val="clear" w:color="auto" w:fill="F4F5F6"/>
          </w:tcPr>
          <w:p>
            <w:pPr>
              <w:spacing w:before="0" w:after="0"/>
            </w:pPr>
            <w:r>
              <w:rPr>
                <w:rFonts w:ascii="Arial" w:hAnsi="Arial"/>
                <w:b/>
                <w:color w:val="0F1115"/>
                <w:sz w:val="19"/>
              </w:rPr>
              <w:t>Role</w:t>
            </w:r>
          </w:p>
        </w:tc>
        <w:tc>
          <w:tcPr>
            <w:tcW w:type="dxa" w:w="1587"/>
            <w:shd w:val="clear" w:color="auto" w:fill="F4F5F6"/>
          </w:tcPr>
          <w:p>
            <w:pPr>
              <w:spacing w:before="0" w:after="0"/>
            </w:pPr>
            <w:r>
              <w:rPr>
                <w:rFonts w:ascii="Arial" w:hAnsi="Arial"/>
                <w:b/>
                <w:color w:val="0F1115"/>
                <w:sz w:val="19"/>
              </w:rPr>
              <w:t>Name</w:t>
            </w:r>
          </w:p>
        </w:tc>
        <w:tc>
          <w:tcPr>
            <w:tcW w:type="dxa" w:w="2608"/>
            <w:shd w:val="clear" w:color="auto" w:fill="F4F5F6"/>
          </w:tcPr>
          <w:p>
            <w:pPr>
              <w:spacing w:before="0" w:after="0"/>
            </w:pPr>
            <w:r>
              <w:rPr>
                <w:rFonts w:ascii="Arial" w:hAnsi="Arial"/>
                <w:b/>
                <w:color w:val="0F1115"/>
                <w:sz w:val="19"/>
              </w:rPr>
              <w:t>What signing means</w:t>
            </w:r>
          </w:p>
        </w:tc>
        <w:tc>
          <w:tcPr>
            <w:tcW w:type="dxa" w:w="1247"/>
            <w:shd w:val="clear" w:color="auto" w:fill="F4F5F6"/>
          </w:tcPr>
          <w:p>
            <w:pPr>
              <w:spacing w:before="0" w:after="0"/>
            </w:pPr>
            <w:r>
              <w:rPr>
                <w:rFonts w:ascii="Arial" w:hAnsi="Arial"/>
                <w:b/>
                <w:color w:val="0F1115"/>
                <w:sz w:val="19"/>
              </w:rPr>
              <w:t>Signature</w:t>
            </w:r>
          </w:p>
        </w:tc>
        <w:tc>
          <w:tcPr>
            <w:tcW w:type="dxa" w:w="1361"/>
            <w:shd w:val="clear" w:color="auto" w:fill="F4F5F6"/>
          </w:tcPr>
          <w:p>
            <w:pPr>
              <w:spacing w:before="0" w:after="0"/>
            </w:pPr>
            <w:r>
              <w:rPr>
                <w:rFonts w:ascii="Arial" w:hAnsi="Arial"/>
                <w:b/>
                <w:color w:val="0F1115"/>
                <w:sz w:val="19"/>
              </w:rPr>
              <w:t>Date</w:t>
            </w:r>
          </w:p>
        </w:tc>
        <w:tc>
          <w:tcPr>
            <w:tcW w:type="dxa" w:w="1134"/>
            <w:shd w:val="clear" w:color="auto" w:fill="F4F5F6"/>
          </w:tcPr>
          <w:p>
            <w:pPr>
              <w:spacing w:before="0" w:after="0"/>
            </w:pPr>
            <w:r>
              <w:rPr>
                <w:rFonts w:ascii="Arial" w:hAnsi="Arial"/>
                <w:b/>
                <w:color w:val="0F1115"/>
                <w:sz w:val="19"/>
              </w:rPr>
              <w:t>Edition signed</w:t>
            </w:r>
          </w:p>
        </w:tc>
      </w:tr>
      <w:tr>
        <w:trPr>
          <w:cantSplit/>
        </w:trPr>
        <w:tc>
          <w:tcPr>
            <w:tcW w:type="dxa" w:w="1701"/>
          </w:tcPr>
          <w:p>
            <w:pPr>
              <w:spacing w:before="0" w:after="0"/>
            </w:pPr>
            <w:r>
              <w:rPr>
                <w:rFonts w:ascii="Arial" w:hAnsi="Arial"/>
                <w:color w:val="0F1115"/>
                <w:sz w:val="19"/>
              </w:rPr>
              <w:t>Sponsor</w:t>
            </w:r>
          </w:p>
        </w:tc>
        <w:tc>
          <w:tcPr>
            <w:tcW w:type="dxa" w:w="1587"/>
          </w:tcPr>
          <w:p>
            <w:pPr>
              <w:spacing w:before="0" w:after="0"/>
            </w:pPr>
          </w:p>
        </w:tc>
        <w:tc>
          <w:tcPr>
            <w:tcW w:type="dxa" w:w="2608"/>
          </w:tcPr>
          <w:p>
            <w:pPr>
              <w:spacing w:before="0" w:after="0"/>
            </w:pPr>
            <w:r>
              <w:rPr>
                <w:rFonts w:ascii="Arial" w:hAnsi="Arial"/>
                <w:color w:val="0F1115"/>
                <w:sz w:val="19"/>
              </w:rPr>
              <w:t>I decide whether this program goes on, changes or stops, and I've read its benefits.</w:t>
            </w:r>
          </w:p>
        </w:tc>
        <w:tc>
          <w:tcPr>
            <w:tcW w:type="dxa" w:w="1247"/>
          </w:tcPr>
          <w:p>
            <w:pPr>
              <w:spacing w:before="0" w:after="0"/>
            </w:pPr>
          </w:p>
        </w:tc>
        <w:tc>
          <w:tcPr>
            <w:tcW w:type="dxa" w:w="1361"/>
          </w:tcPr>
          <w:p>
            <w:pPr>
              <w:spacing w:before="0" w:after="0"/>
            </w:pPr>
          </w:p>
        </w:tc>
        <w:tc>
          <w:tcPr>
            <w:tcW w:type="dxa" w:w="1134"/>
          </w:tcPr>
          <w:p>
            <w:pPr>
              <w:spacing w:before="0" w:after="0"/>
            </w:pPr>
          </w:p>
        </w:tc>
      </w:tr>
      <w:tr>
        <w:trPr>
          <w:cantSplit/>
        </w:trPr>
        <w:tc>
          <w:tcPr>
            <w:tcW w:type="dxa" w:w="1701"/>
          </w:tcPr>
          <w:p>
            <w:pPr>
              <w:spacing w:before="0" w:after="0"/>
            </w:pPr>
            <w:r>
              <w:rPr>
                <w:rFonts w:ascii="Arial" w:hAnsi="Arial"/>
                <w:color w:val="0F1115"/>
                <w:sz w:val="19"/>
              </w:rPr>
              <w:t>Program manager, and benefit owner for Invoices from the new engine</w:t>
            </w:r>
          </w:p>
        </w:tc>
        <w:tc>
          <w:tcPr>
            <w:tcW w:type="dxa" w:w="1587"/>
          </w:tcPr>
          <w:p>
            <w:pPr>
              <w:spacing w:before="0" w:after="0"/>
            </w:pPr>
            <w:r>
              <w:rPr>
                <w:rFonts w:ascii="Arial" w:hAnsi="Arial"/>
                <w:color w:val="0F1115"/>
                <w:sz w:val="19"/>
              </w:rPr>
              <w:t>Hugo (Program Manager)</w:t>
            </w:r>
          </w:p>
        </w:tc>
        <w:tc>
          <w:tcPr>
            <w:tcW w:type="dxa" w:w="2608"/>
          </w:tcPr>
          <w:p>
            <w:pPr>
              <w:spacing w:before="0" w:after="0"/>
            </w:pPr>
            <w:r>
              <w:rPr>
                <w:rFonts w:ascii="Arial" w:hAnsi="Arial"/>
                <w:color w:val="0F1115"/>
                <w:sz w:val="19"/>
              </w:rPr>
              <w:t>I'll run the program as this charter sets it out, and bring any change to section 8 first.</w:t>
            </w:r>
          </w:p>
          <w:p>
            <w:pPr>
              <w:spacing w:before="0" w:after="0"/>
            </w:pPr>
            <w:r>
              <w:rPr>
                <w:rFonts w:ascii="Arial" w:hAnsi="Arial"/>
                <w:color w:val="0F1115"/>
                <w:sz w:val="19"/>
              </w:rPr>
              <w:t>I'll read my benefits' measures on the dates in Table A.</w:t>
            </w:r>
          </w:p>
        </w:tc>
        <w:tc>
          <w:tcPr>
            <w:tcW w:type="dxa" w:w="1247"/>
          </w:tcPr>
          <w:p>
            <w:pPr>
              <w:spacing w:before="0" w:after="0"/>
            </w:pPr>
            <w:r>
              <w:rPr>
                <w:rFonts w:ascii="Arial" w:hAnsi="Arial"/>
                <w:i/>
                <w:color w:val="0F1115"/>
                <w:sz w:val="19"/>
              </w:rPr>
              <w:t>Signed</w:t>
            </w:r>
          </w:p>
        </w:tc>
        <w:tc>
          <w:tcPr>
            <w:tcW w:type="dxa" w:w="1361"/>
          </w:tcPr>
          <w:p>
            <w:pPr>
              <w:spacing w:before="0" w:after="0"/>
            </w:pPr>
            <w:r>
              <w:rPr>
                <w:rFonts w:ascii="Arial" w:hAnsi="Arial"/>
                <w:color w:val="0F1115"/>
                <w:sz w:val="19"/>
              </w:rPr>
              <w:t>22 Oct 2026</w:t>
            </w:r>
          </w:p>
        </w:tc>
        <w:tc>
          <w:tcPr>
            <w:tcW w:type="dxa" w:w="1134"/>
          </w:tcPr>
          <w:p>
            <w:pPr>
              <w:spacing w:before="0" w:after="0"/>
            </w:pPr>
            <w:r>
              <w:rPr>
                <w:rFonts w:ascii="Arial" w:hAnsi="Arial"/>
                <w:color w:val="0F1115"/>
                <w:sz w:val="19"/>
              </w:rPr>
              <w:t>1</w:t>
            </w:r>
          </w:p>
        </w:tc>
      </w:tr>
      <w:tr>
        <w:trPr>
          <w:cantSplit/>
        </w:trPr>
        <w:tc>
          <w:tcPr>
            <w:tcW w:type="dxa" w:w="1701"/>
          </w:tcPr>
          <w:p>
            <w:pPr>
              <w:spacing w:before="0" w:after="0"/>
            </w:pPr>
            <w:r>
              <w:rPr>
                <w:rFonts w:ascii="Arial" w:hAnsi="Arial"/>
                <w:color w:val="0F1115"/>
                <w:sz w:val="19"/>
              </w:rPr>
              <w:t>Portfolio director</w:t>
            </w:r>
          </w:p>
        </w:tc>
        <w:tc>
          <w:tcPr>
            <w:tcW w:type="dxa" w:w="1587"/>
          </w:tcPr>
          <w:p>
            <w:pPr>
              <w:spacing w:before="0" w:after="0"/>
            </w:pPr>
            <w:r>
              <w:rPr>
                <w:rFonts w:ascii="Arial" w:hAnsi="Arial"/>
                <w:color w:val="0F1115"/>
                <w:sz w:val="19"/>
              </w:rPr>
              <w:t>Priya (CTO)</w:t>
            </w:r>
          </w:p>
        </w:tc>
        <w:tc>
          <w:tcPr>
            <w:tcW w:type="dxa" w:w="2608"/>
          </w:tcPr>
          <w:p>
            <w:pPr>
              <w:spacing w:before="0" w:after="0"/>
            </w:pPr>
            <w:r>
              <w:rPr>
                <w:rFonts w:ascii="Arial" w:hAnsi="Arial"/>
                <w:color w:val="0F1115"/>
                <w:sz w:val="19"/>
              </w:rPr>
              <w:t>I agree to this Budget coming out of the portfolio's envelope.</w:t>
            </w:r>
          </w:p>
        </w:tc>
        <w:tc>
          <w:tcPr>
            <w:tcW w:type="dxa" w:w="1247"/>
          </w:tcPr>
          <w:p>
            <w:pPr>
              <w:spacing w:before="0" w:after="0"/>
            </w:pPr>
            <w:r>
              <w:rPr>
                <w:rFonts w:ascii="Arial" w:hAnsi="Arial"/>
                <w:i/>
                <w:color w:val="0F1115"/>
                <w:sz w:val="19"/>
              </w:rPr>
              <w:t>Signed</w:t>
            </w:r>
          </w:p>
        </w:tc>
        <w:tc>
          <w:tcPr>
            <w:tcW w:type="dxa" w:w="1361"/>
          </w:tcPr>
          <w:p>
            <w:pPr>
              <w:spacing w:before="0" w:after="0"/>
            </w:pPr>
            <w:r>
              <w:rPr>
                <w:rFonts w:ascii="Arial" w:hAnsi="Arial"/>
                <w:color w:val="0F1115"/>
                <w:sz w:val="19"/>
              </w:rPr>
              <w:t>22 Oct 2026</w:t>
            </w:r>
          </w:p>
        </w:tc>
        <w:tc>
          <w:tcPr>
            <w:tcW w:type="dxa" w:w="1134"/>
          </w:tcPr>
          <w:p>
            <w:pPr>
              <w:spacing w:before="0" w:after="0"/>
            </w:pPr>
            <w:r>
              <w:rPr>
                <w:rFonts w:ascii="Arial" w:hAnsi="Arial"/>
                <w:color w:val="0F1115"/>
                <w:sz w:val="19"/>
              </w:rPr>
              <w:t>1</w:t>
            </w:r>
          </w:p>
        </w:tc>
      </w:tr>
      <w:tr>
        <w:trPr>
          <w:cantSplit/>
        </w:trPr>
        <w:tc>
          <w:tcPr>
            <w:tcW w:type="dxa" w:w="1701"/>
          </w:tcPr>
          <w:p>
            <w:pPr>
              <w:spacing w:before="0" w:after="0"/>
            </w:pPr>
            <w:r>
              <w:rPr>
                <w:rFonts w:ascii="Arial" w:hAnsi="Arial"/>
                <w:color w:val="0F1115"/>
                <w:sz w:val="19"/>
              </w:rPr>
              <w:t>Benefit owner for Fewer invoice corrections and Cheaper to run billing</w:t>
            </w:r>
          </w:p>
        </w:tc>
        <w:tc>
          <w:tcPr>
            <w:tcW w:type="dxa" w:w="1587"/>
          </w:tcPr>
          <w:p>
            <w:pPr>
              <w:spacing w:before="0" w:after="0"/>
            </w:pPr>
            <w:r>
              <w:rPr>
                <w:rFonts w:ascii="Arial" w:hAnsi="Arial"/>
                <w:color w:val="0F1115"/>
                <w:sz w:val="19"/>
              </w:rPr>
              <w:t>Rhys (Finance Operations Lead)</w:t>
            </w:r>
          </w:p>
        </w:tc>
        <w:tc>
          <w:tcPr>
            <w:tcW w:type="dxa" w:w="2608"/>
          </w:tcPr>
          <w:p>
            <w:pPr>
              <w:spacing w:before="0" w:after="0"/>
            </w:pPr>
            <w:r>
              <w:rPr>
                <w:rFonts w:ascii="Arial" w:hAnsi="Arial"/>
                <w:color w:val="0F1115"/>
                <w:sz w:val="19"/>
              </w:rPr>
              <w:t>I'll read my benefits' measures on the dates in Table A.</w:t>
            </w:r>
          </w:p>
        </w:tc>
        <w:tc>
          <w:tcPr>
            <w:tcW w:type="dxa" w:w="1247"/>
          </w:tcPr>
          <w:p>
            <w:pPr>
              <w:spacing w:before="0" w:after="0"/>
            </w:pPr>
          </w:p>
        </w:tc>
        <w:tc>
          <w:tcPr>
            <w:tcW w:type="dxa" w:w="1361"/>
          </w:tcPr>
          <w:p>
            <w:pPr>
              <w:spacing w:before="0" w:after="0"/>
            </w:pPr>
          </w:p>
        </w:tc>
        <w:tc>
          <w:tcPr>
            <w:tcW w:type="dxa" w:w="1134"/>
          </w:tcPr>
          <w:p>
            <w:pPr>
              <w:spacing w:before="0" w:after="0"/>
            </w:pPr>
          </w:p>
        </w:tc>
      </w:tr>
    </w:tbl>
    <w:p>
      <w:pPr>
        <w:spacing w:before="60" w:after="80"/>
      </w:pPr>
      <w:r>
        <w:rPr>
          <w:rFonts w:ascii="Arial" w:hAnsi="Arial"/>
          <w:color w:val="0F1115"/>
          <w:sz w:val="21"/>
        </w:rPr>
        <w:t>A signature covers the edition written beside it. The charter is Signed only when every row is signed for the edition in the header. Change anything above, and everyone signs the next edition.</w:t>
      </w:r>
    </w:p>
    <w:p>
      <w:pPr>
        <w:pStyle w:val="Heading1"/>
        <w:keepNext/>
        <w:pageBreakBefore/>
      </w:pPr>
      <w:r>
        <w:t>Read me</w:t>
      </w:r>
    </w:p>
    <w:p>
      <w:pPr>
        <w:spacing w:before="0" w:after="80"/>
      </w:pPr>
      <w:r>
        <w:rPr>
          <w:rFonts w:ascii="Arial" w:hAnsi="Arial"/>
          <w:color w:val="0F1115"/>
          <w:sz w:val="21"/>
        </w:rPr>
        <w:t>This charter holds what was agreed when the program was signed: what it's for, the benefits it should bring, the projects and the money, who decides, and who signs. It changes only through section 8. What's true today, such as the forecast and the latest reads, goes in the program workbook.</w:t>
      </w:r>
    </w:p>
    <w:p>
      <w:pPr>
        <w:pStyle w:val="Heading2"/>
        <w:keepNext/>
      </w:pPr>
      <w:r>
        <w:t>Filling it in</w:t>
      </w:r>
    </w:p>
    <w:p>
      <w:pPr>
        <w:pStyle w:val="ListNumber"/>
        <w:spacing w:before="0" w:after="40"/>
      </w:pPr>
      <w:r>
        <w:rPr>
          <w:rFonts w:ascii="Arial" w:hAnsi="Arial"/>
          <w:color w:val="0F1115"/>
          <w:sz w:val="21"/>
        </w:rPr>
        <w:t>Copy from your portfolio register, letter for letter: the program's name and its Sits under, Level, Objective, Owner, Sponsor and Planned finish from its row, and each project under it into Table C (Project, Owner and Planned finish).</w:t>
      </w:r>
    </w:p>
    <w:p>
      <w:pPr>
        <w:pStyle w:val="ListNumber"/>
        <w:spacing w:before="0" w:after="40"/>
      </w:pPr>
      <w:r>
        <w:rPr>
          <w:rFonts w:ascii="Arial" w:hAnsi="Arial"/>
          <w:color w:val="0F1115"/>
          <w:sz w:val="21"/>
        </w:rPr>
        <w:t>Write section 1 first, then the benefits in Table A, each with its measure, baseline and owner.</w:t>
      </w:r>
    </w:p>
    <w:p>
      <w:pPr>
        <w:pStyle w:val="ListNumber"/>
        <w:spacing w:before="0" w:after="40"/>
      </w:pPr>
      <w:r>
        <w:rPr>
          <w:rFonts w:ascii="Arial" w:hAnsi="Arial"/>
          <w:color w:val="0F1115"/>
          <w:sz w:val="21"/>
        </w:rPr>
        <w:t>Fill the rest in order. Where you can't fill a cell yet, leave it blank or write Not yet named, and the review questions will find it. Delete each grey prompt once its section is filled.</w:t>
      </w:r>
    </w:p>
    <w:p>
      <w:pPr>
        <w:pStyle w:val="ListNumber"/>
        <w:spacing w:before="0" w:after="40"/>
      </w:pPr>
      <w:r>
        <w:rPr>
          <w:rFonts w:ascii="Arial" w:hAnsi="Arial"/>
          <w:color w:val="0F1115"/>
          <w:sz w:val="21"/>
        </w:rPr>
        <w:t>Before anyone signs, ask the nine review questions on the next page, or give the charter to an assistant with the brief (see Other files).</w:t>
      </w:r>
    </w:p>
    <w:p>
      <w:pPr>
        <w:pStyle w:val="ListNumber"/>
        <w:spacing w:before="0" w:after="40"/>
      </w:pPr>
      <w:r>
        <w:rPr>
          <w:rFonts w:ascii="Arial" w:hAnsi="Arial"/>
          <w:color w:val="0F1115"/>
          <w:sz w:val="21"/>
        </w:rPr>
        <w:t>Set Charter status to Waiting to sign and send it to everyone in Table G. When every row is signed for this edition, set it to Signed and keep a PDF of it.</w:t>
      </w:r>
    </w:p>
    <w:p>
      <w:pPr>
        <w:pStyle w:val="ListNumber"/>
        <w:spacing w:before="0" w:after="40"/>
      </w:pPr>
      <w:r>
        <w:rPr>
          <w:rFonts w:ascii="Arial" w:hAnsi="Arial"/>
          <w:color w:val="0F1115"/>
          <w:sz w:val="21"/>
        </w:rPr>
        <w:t>To change it after that, follow section 8.</w:t>
      </w:r>
    </w:p>
    <w:p>
      <w:pPr>
        <w:pStyle w:val="Heading2"/>
        <w:keepNext/>
      </w:pPr>
      <w:r>
        <w:t>Your logo</w:t>
      </w:r>
    </w:p>
    <w:p>
      <w:pPr>
        <w:spacing w:before="0" w:after="80"/>
      </w:pPr>
      <w:r>
        <w:rPr>
          <w:rFonts w:ascii="Arial" w:hAnsi="Arial"/>
          <w:color w:val="0F1115"/>
          <w:sz w:val="21"/>
        </w:rPr>
        <w:t>The FRQZ logo is at the top right of page 1. To use your own, right-click it and choose Change Picture. In Google Docs, choose Replace image.</w:t>
      </w:r>
    </w:p>
    <w:p>
      <w:pPr>
        <w:pStyle w:val="Heading2"/>
        <w:keepNext/>
      </w:pPr>
      <w:r>
        <w:t>Names</w:t>
      </w:r>
    </w:p>
    <w:p>
      <w:pPr>
        <w:spacing w:before="0" w:after="80"/>
      </w:pPr>
      <w:r>
        <w:rPr>
          <w:rFonts w:ascii="Arial" w:hAnsi="Arial"/>
          <w:color w:val="0F1115"/>
          <w:sz w:val="21"/>
        </w:rPr>
        <w:t>Write each person the way the Register does, first name and role: Hugo (Program Manager). The program, its projects and its objective are copied letter for letter, so the program workbook and each project charter can find them by name.</w:t>
      </w:r>
    </w:p>
    <w:p>
      <w:pPr>
        <w:pStyle w:val="Heading2"/>
        <w:keepNext/>
      </w:pPr>
      <w:r>
        <w:t>Words used here</w:t>
      </w:r>
    </w:p>
    <w:p>
      <w:pPr>
        <w:pStyle w:val="ListBullet"/>
        <w:spacing w:before="0" w:after="40"/>
      </w:pPr>
      <w:r>
        <w:rPr>
          <w:rFonts w:ascii="Arial" w:hAnsi="Arial"/>
          <w:b/>
          <w:color w:val="0F1115"/>
          <w:sz w:val="21"/>
        </w:rPr>
        <w:t xml:space="preserve">Envelope: </w:t>
      </w:r>
      <w:r>
        <w:rPr>
          <w:rFonts w:ascii="Arial" w:hAnsi="Arial"/>
          <w:color w:val="0F1115"/>
          <w:sz w:val="21"/>
        </w:rPr>
        <w:t>the money set aside for the whole program, the Budget in the header. Each project gets a share; what isn't shared out yet is Held back.</w:t>
      </w:r>
    </w:p>
    <w:p>
      <w:pPr>
        <w:pStyle w:val="ListBullet"/>
        <w:spacing w:before="0" w:after="40"/>
      </w:pPr>
      <w:r>
        <w:rPr>
          <w:rFonts w:ascii="Arial" w:hAnsi="Arial"/>
          <w:b/>
          <w:color w:val="0F1115"/>
          <w:sz w:val="21"/>
        </w:rPr>
        <w:t xml:space="preserve">Benefit: </w:t>
      </w:r>
      <w:r>
        <w:rPr>
          <w:rFonts w:ascii="Arial" w:hAnsi="Arial"/>
          <w:color w:val="0F1115"/>
          <w:sz w:val="21"/>
        </w:rPr>
        <w:t>a change the program should bring, counted in something you already measure. Disbenefit: a change it makes worse for someone, written the same way.</w:t>
      </w:r>
    </w:p>
    <w:p>
      <w:pPr>
        <w:pStyle w:val="ListBullet"/>
        <w:spacing w:before="0" w:after="40"/>
      </w:pPr>
      <w:r>
        <w:rPr>
          <w:rFonts w:ascii="Arial" w:hAnsi="Arial"/>
          <w:b/>
          <w:color w:val="0F1115"/>
          <w:sz w:val="21"/>
        </w:rPr>
        <w:t xml:space="preserve">Worth a year: </w:t>
      </w:r>
      <w:r>
        <w:rPr>
          <w:rFonts w:ascii="Arial" w:hAnsi="Arial"/>
          <w:color w:val="0F1115"/>
          <w:sz w:val="21"/>
        </w:rPr>
        <w:t>what a benefit counted in money is worth each year once it reaches its target. A cost that continues in Table B comes off it.</w:t>
      </w:r>
    </w:p>
    <w:p>
      <w:pPr>
        <w:pStyle w:val="ListBullet"/>
        <w:spacing w:before="0" w:after="40"/>
      </w:pPr>
      <w:r>
        <w:rPr>
          <w:rFonts w:ascii="Arial" w:hAnsi="Arial"/>
          <w:b/>
          <w:color w:val="0F1115"/>
          <w:sz w:val="21"/>
        </w:rPr>
        <w:t xml:space="preserve">Investment decision: </w:t>
      </w:r>
      <w:r>
        <w:rPr>
          <w:rFonts w:ascii="Arial" w:hAnsi="Arial"/>
          <w:color w:val="0F1115"/>
          <w:sz w:val="21"/>
        </w:rPr>
        <w:t>the decision to start the program and fund it. Strategic review: a planned look at whether it goes on, changes or stops. The last Strategic review is at close.</w:t>
      </w:r>
    </w:p>
    <w:p>
      <w:pPr>
        <w:pStyle w:val="ListBullet"/>
        <w:spacing w:before="0" w:after="40"/>
      </w:pPr>
      <w:r>
        <w:rPr>
          <w:rFonts w:ascii="Arial" w:hAnsi="Arial"/>
          <w:b/>
          <w:color w:val="0F1115"/>
          <w:sz w:val="21"/>
        </w:rPr>
        <w:t xml:space="preserve">Tolerances: </w:t>
      </w:r>
      <w:r>
        <w:rPr>
          <w:rFonts w:ascii="Arial" w:hAnsi="Arial"/>
          <w:color w:val="0F1115"/>
          <w:sz w:val="21"/>
        </w:rPr>
        <w:t>how far cost, benefits and the outcome date may move before the sponsor has to decide.</w:t>
      </w:r>
    </w:p>
    <w:p>
      <w:pPr>
        <w:pStyle w:val="ListBullet"/>
        <w:spacing w:before="0" w:after="40"/>
      </w:pPr>
      <w:r>
        <w:rPr>
          <w:rFonts w:ascii="Arial" w:hAnsi="Arial"/>
          <w:b/>
          <w:color w:val="0F1115"/>
          <w:sz w:val="21"/>
        </w:rPr>
        <w:t xml:space="preserve">Edition: </w:t>
      </w:r>
      <w:r>
        <w:rPr>
          <w:rFonts w:ascii="Arial" w:hAnsi="Arial"/>
          <w:color w:val="0F1115"/>
          <w:sz w:val="21"/>
        </w:rPr>
        <w:t>the count of signed charters, 1 and then 2 after the first signed change. A name only row in Table F keeps the edition.</w:t>
      </w:r>
    </w:p>
    <w:p>
      <w:pPr>
        <w:pStyle w:val="ListBullet"/>
        <w:spacing w:before="0" w:after="40"/>
      </w:pPr>
      <w:r>
        <w:rPr>
          <w:rFonts w:ascii="Arial" w:hAnsi="Arial"/>
          <w:b/>
          <w:color w:val="0F1115"/>
          <w:sz w:val="21"/>
        </w:rPr>
        <w:t xml:space="preserve">Changed since signed: </w:t>
      </w:r>
      <w:r>
        <w:rPr>
          <w:rFonts w:ascii="Arial" w:hAnsi="Arial"/>
          <w:color w:val="0F1115"/>
          <w:sz w:val="21"/>
        </w:rPr>
        <w:t>something above was changed after signing, and the next edition isn't signed yet.</w:t>
      </w:r>
    </w:p>
    <w:p>
      <w:pPr>
        <w:pStyle w:val="Heading2"/>
        <w:keepNext/>
      </w:pPr>
      <w:r>
        <w:t>A program already running</w:t>
      </w:r>
    </w:p>
    <w:p>
      <w:pPr>
        <w:spacing w:before="0" w:after="80"/>
      </w:pPr>
      <w:r>
        <w:rPr>
          <w:rFonts w:ascii="Arial" w:hAnsi="Arial"/>
          <w:color w:val="0F1115"/>
          <w:sz w:val="21"/>
        </w:rPr>
        <w:t>You can sign a charter for a program that's already under way. Signing then confirms the program as it stands that day, and Table D keeps the Investment decision's own date.</w:t>
      </w:r>
    </w:p>
    <w:p>
      <w:pPr>
        <w:spacing w:before="0" w:after="80"/>
      </w:pPr>
      <w:r>
        <w:rPr>
          <w:rFonts w:ascii="Arial" w:hAnsi="Arial"/>
          <w:color w:val="0F1115"/>
          <w:sz w:val="21"/>
        </w:rPr>
        <w:t>A file can't tell you it was changed after signing. Before each Strategic review, compare it with the signed PDF: in Word, Review, then Compare; in Google Docs, Tools, then Compare documents. That's question 9.</w:t>
      </w:r>
    </w:p>
    <w:p>
      <w:pPr>
        <w:pStyle w:val="Heading2"/>
        <w:keepNext/>
      </w:pPr>
      <w:r>
        <w:t>Other files</w:t>
      </w:r>
    </w:p>
    <w:p>
      <w:pPr>
        <w:pStyle w:val="ListBullet"/>
        <w:spacing w:before="0" w:after="40"/>
      </w:pPr>
      <w:r>
        <w:rPr>
          <w:rFonts w:ascii="Arial" w:hAnsi="Arial"/>
          <w:color w:val="0F1115"/>
          <w:sz w:val="21"/>
        </w:rPr>
        <w:t>The program workbook starts from Tables A to E and says which edition it copied. Change the charter first, then the workbook.</w:t>
      </w:r>
    </w:p>
    <w:p>
      <w:pPr>
        <w:pStyle w:val="ListBullet"/>
        <w:spacing w:before="0" w:after="40"/>
      </w:pPr>
      <w:r>
        <w:rPr>
          <w:rFonts w:ascii="Arial" w:hAnsi="Arial"/>
          <w:color w:val="0F1115"/>
          <w:sz w:val="21"/>
        </w:rPr>
        <w:t>Each project charter names the benefit it serves exactly as Table A writes it, and its share exactly as Table C has it.</w:t>
      </w:r>
    </w:p>
    <w:p>
      <w:pPr>
        <w:pStyle w:val="ListBullet"/>
        <w:spacing w:before="0" w:after="40"/>
      </w:pPr>
      <w:r>
        <w:rPr>
          <w:rFonts w:ascii="Arial" w:hAnsi="Arial"/>
          <w:color w:val="0F1115"/>
          <w:sz w:val="21"/>
        </w:rPr>
        <w:t>An assistant can review the charter for you. The brief is in frqz-program-charter-agent-brief.txt, beside this file.</w:t>
      </w:r>
    </w:p>
    <w:p>
      <w:pPr>
        <w:pStyle w:val="Heading2"/>
        <w:keepNext/>
      </w:pPr>
      <w:r>
        <w:t>About this Example</w:t>
      </w:r>
    </w:p>
    <w:p>
      <w:pPr>
        <w:spacing w:before="0" w:after="80"/>
      </w:pPr>
      <w:r>
        <w:rPr>
          <w:rFonts w:ascii="Arial" w:hAnsi="Arial"/>
          <w:color w:val="0F1115"/>
          <w:sz w:val="21"/>
        </w:rPr>
        <w:t>Hollins Software is a made-up software company. Everyone in it is made up too.</w:t>
      </w:r>
    </w:p>
    <w:p>
      <w:pPr>
        <w:spacing w:before="0" w:after="80"/>
      </w:pPr>
      <w:r>
        <w:rPr>
          <w:rFonts w:ascii="Arial" w:hAnsi="Arial"/>
          <w:color w:val="0F1115"/>
          <w:sz w:val="21"/>
        </w:rPr>
        <w:t>This is the charter for Billing and Payments Program, signed on 22 Oct 2026 for a program already running. Its Investment decision was made on 5 Mar 2026.</w:t>
      </w:r>
    </w:p>
    <w:p>
      <w:pPr>
        <w:spacing w:before="0" w:after="80"/>
      </w:pPr>
      <w:r>
        <w:rPr>
          <w:rFonts w:ascii="Arial" w:hAnsi="Arial"/>
          <w:color w:val="0F1115"/>
          <w:sz w:val="21"/>
        </w:rPr>
        <w:t>It fails four of the nine review questions on purpose. The review notes on the last page say where.</w:t>
      </w:r>
    </w:p>
    <w:p>
      <w:pPr>
        <w:pStyle w:val="ListBullet"/>
        <w:spacing w:before="0" w:after="40"/>
      </w:pPr>
      <w:r>
        <w:rPr>
          <w:rFonts w:ascii="Arial" w:hAnsi="Arial"/>
          <w:b/>
          <w:color w:val="0F1115"/>
          <w:sz w:val="21"/>
        </w:rPr>
        <w:t xml:space="preserve">Question 3: </w:t>
      </w:r>
      <w:r>
        <w:rPr>
          <w:rFonts w:ascii="Arial" w:hAnsi="Arial"/>
          <w:color w:val="0F1115"/>
          <w:sz w:val="21"/>
        </w:rPr>
        <w:t>Fewer invoice corrections has no baseline. It reads Not yet measured, with no date.</w:t>
      </w:r>
    </w:p>
    <w:p>
      <w:pPr>
        <w:pStyle w:val="ListBullet"/>
        <w:spacing w:before="0" w:after="40"/>
      </w:pPr>
      <w:r>
        <w:rPr>
          <w:rFonts w:ascii="Arial" w:hAnsi="Arial"/>
          <w:b/>
          <w:color w:val="0F1115"/>
          <w:sz w:val="21"/>
        </w:rPr>
        <w:t xml:space="preserve">Question 4: </w:t>
      </w:r>
      <w:r>
        <w:rPr>
          <w:rFonts w:ascii="Arial" w:hAnsi="Arial"/>
          <w:color w:val="0F1115"/>
          <w:sz w:val="21"/>
        </w:rPr>
        <w:t>All three benefits are read after the program closes on 30 Jun 2027, and nobody is named to take them at close. The first, Invoices from the new engine, is owned by Hugo, the program manager, whose role ends at close.</w:t>
      </w:r>
    </w:p>
    <w:p>
      <w:pPr>
        <w:pStyle w:val="ListBullet"/>
        <w:spacing w:before="0" w:after="40"/>
      </w:pPr>
      <w:r>
        <w:rPr>
          <w:rFonts w:ascii="Arial" w:hAnsi="Arial"/>
          <w:b/>
          <w:color w:val="0F1115"/>
          <w:sz w:val="21"/>
        </w:rPr>
        <w:t xml:space="preserve">Question 5: </w:t>
      </w:r>
      <w:r>
        <w:rPr>
          <w:rFonts w:ascii="Arial" w:hAnsi="Arial"/>
          <w:color w:val="0F1115"/>
          <w:sz w:val="21"/>
        </w:rPr>
        <w:t>Cheaper to run billing is worth 310,000 a year, and Table B says None with no reason. Finance puts the new engine's hosting and support at 140,000 a year, and no budget line holds it.</w:t>
      </w:r>
    </w:p>
    <w:p>
      <w:pPr>
        <w:pStyle w:val="ListBullet"/>
        <w:spacing w:before="0" w:after="40"/>
      </w:pPr>
      <w:r>
        <w:rPr>
          <w:rFonts w:ascii="Arial" w:hAnsi="Arial"/>
          <w:b/>
          <w:color w:val="0F1115"/>
          <w:sz w:val="21"/>
        </w:rPr>
        <w:t xml:space="preserve">Question 8: </w:t>
      </w:r>
      <w:r>
        <w:rPr>
          <w:rFonts w:ascii="Arial" w:hAnsi="Arial"/>
          <w:color w:val="0F1115"/>
          <w:sz w:val="21"/>
        </w:rPr>
        <w:t>The charter reads Signed, but the program has no sponsor, nobody is named to decide the three Strategic reviews, and the sponsor's row in Table G is empty. Rhys hasn't signed either.</w:t>
      </w:r>
    </w:p>
    <w:p>
      <w:pPr>
        <w:pStyle w:val="Heading1"/>
        <w:keepNext/>
        <w:pageBreakBefore/>
      </w:pPr>
      <w:r>
        <w:t>Before anyone signs: nine questions</w:t>
      </w:r>
    </w:p>
    <w:p>
      <w:pPr>
        <w:spacing w:before="0" w:after="80"/>
      </w:pPr>
      <w:r>
        <w:rPr>
          <w:rFonts w:ascii="Arial" w:hAnsi="Arial"/>
          <w:color w:val="0F1115"/>
          <w:sz w:val="21"/>
        </w:rPr>
        <w:t>A reviewer who didn't write the charter asks these: the program manager's peer, or the portfolio manager. Write what each one finds in the review notes, with where you found it.</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2835"/>
        <w:gridCol w:w="6803"/>
      </w:tblGrid>
      <w:tr>
        <w:trPr>
          <w:cantSplit/>
        </w:trPr>
        <w:tc>
          <w:tcPr>
            <w:tcW w:type="dxa" w:w="2835"/>
            <w:shd w:val="clear" w:color="auto" w:fill="F4F5F6"/>
          </w:tcPr>
          <w:p>
            <w:pPr>
              <w:spacing w:before="0" w:after="0"/>
            </w:pPr>
            <w:r>
              <w:rPr>
                <w:rFonts w:ascii="Arial" w:hAnsi="Arial"/>
                <w:b/>
                <w:color w:val="0F1115"/>
                <w:sz w:val="19"/>
              </w:rPr>
              <w:t>1. A name that differs from the Register</w:t>
            </w:r>
          </w:p>
        </w:tc>
        <w:tc>
          <w:tcPr>
            <w:tcW w:type="dxa" w:w="6803"/>
          </w:tcPr>
          <w:p>
            <w:pPr>
              <w:spacing w:before="0" w:after="0"/>
            </w:pPr>
            <w:r>
              <w:rPr>
                <w:rFonts w:ascii="Arial" w:hAnsi="Arial"/>
                <w:color w:val="0F1115"/>
                <w:sz w:val="19"/>
              </w:rPr>
              <w:t>Do the header's Name, Sits under, Objective and Owner, and each project and owner in Table C, match the Register letter for letter? Is every Register row that sits under this program in Table C?</w:t>
            </w:r>
          </w:p>
          <w:p>
            <w:pPr>
              <w:spacing w:before="60" w:after="0"/>
            </w:pPr>
            <w:r>
              <w:rPr>
                <w:rFonts w:ascii="Arial" w:hAnsi="Arial"/>
                <w:color w:val="0F1115"/>
                <w:sz w:val="19"/>
              </w:rPr>
              <w:t>Copy the Register's spelling. If the Register is wrong, change it there first. A blank on the Register stays blank here.</w:t>
            </w:r>
          </w:p>
        </w:tc>
      </w:tr>
      <w:tr>
        <w:trPr>
          <w:cantSplit/>
        </w:trPr>
        <w:tc>
          <w:tcPr>
            <w:tcW w:type="dxa" w:w="2835"/>
            <w:shd w:val="clear" w:color="auto" w:fill="F4F5F6"/>
          </w:tcPr>
          <w:p>
            <w:pPr>
              <w:spacing w:before="0" w:after="0"/>
            </w:pPr>
            <w:r>
              <w:rPr>
                <w:rFonts w:ascii="Arial" w:hAnsi="Arial"/>
                <w:b/>
                <w:color w:val="0F1115"/>
                <w:sz w:val="19"/>
              </w:rPr>
              <w:t>2. A benefit nobody outside the program would notice</w:t>
            </w:r>
          </w:p>
        </w:tc>
        <w:tc>
          <w:tcPr>
            <w:tcW w:type="dxa" w:w="6803"/>
          </w:tcPr>
          <w:p>
            <w:pPr>
              <w:spacing w:before="0" w:after="0"/>
            </w:pPr>
            <w:r>
              <w:rPr>
                <w:rFonts w:ascii="Arial" w:hAnsi="Arial"/>
                <w:color w:val="0F1115"/>
                <w:sz w:val="19"/>
              </w:rPr>
              <w:t>Could each benefit come true while nobody outside the program team is better off? Ask the same of the objective's measure.</w:t>
            </w:r>
          </w:p>
          <w:p>
            <w:pPr>
              <w:spacing w:before="60" w:after="0"/>
            </w:pPr>
            <w:r>
              <w:rPr>
                <w:rFonts w:ascii="Arial" w:hAnsi="Arial"/>
                <w:color w:val="0F1115"/>
                <w:sz w:val="19"/>
              </w:rPr>
              <w:t>If so, it counts something the program builds. Find what changes for the people who use it, and count that.</w:t>
            </w:r>
          </w:p>
        </w:tc>
      </w:tr>
      <w:tr>
        <w:trPr>
          <w:cantSplit/>
        </w:trPr>
        <w:tc>
          <w:tcPr>
            <w:tcW w:type="dxa" w:w="2835"/>
            <w:shd w:val="clear" w:color="auto" w:fill="F4F5F6"/>
          </w:tcPr>
          <w:p>
            <w:pPr>
              <w:spacing w:before="0" w:after="0"/>
            </w:pPr>
            <w:r>
              <w:rPr>
                <w:rFonts w:ascii="Arial" w:hAnsi="Arial"/>
                <w:b/>
                <w:color w:val="0F1115"/>
                <w:sz w:val="19"/>
              </w:rPr>
              <w:t>3. A benefit that can't be measured yet</w:t>
            </w:r>
          </w:p>
        </w:tc>
        <w:tc>
          <w:tcPr>
            <w:tcW w:type="dxa" w:w="6803"/>
          </w:tcPr>
          <w:p>
            <w:pPr>
              <w:spacing w:before="0" w:after="0"/>
            </w:pPr>
            <w:r>
              <w:rPr>
                <w:rFonts w:ascii="Arial" w:hAnsi="Arial"/>
                <w:color w:val="0F1115"/>
                <w:sz w:val="19"/>
              </w:rPr>
              <w:t>Does every benefit have a measure with its unit and report, a baseline with the day it was taken, a target, a target date and a first read? TBC, Not yet measured and a year alone count as missing.</w:t>
            </w:r>
          </w:p>
          <w:p>
            <w:pPr>
              <w:spacing w:before="60" w:after="0"/>
            </w:pPr>
            <w:r>
              <w:rPr>
                <w:rFonts w:ascii="Arial" w:hAnsi="Arial"/>
                <w:color w:val="0F1115"/>
                <w:sz w:val="19"/>
              </w:rPr>
              <w:t>Take the baseline before anyone signs, or write down who takes it and by when.</w:t>
            </w:r>
          </w:p>
        </w:tc>
      </w:tr>
      <w:tr>
        <w:trPr>
          <w:cantSplit/>
        </w:trPr>
        <w:tc>
          <w:tcPr>
            <w:tcW w:type="dxa" w:w="2835"/>
            <w:shd w:val="clear" w:color="auto" w:fill="F4F5F6"/>
          </w:tcPr>
          <w:p>
            <w:pPr>
              <w:spacing w:before="0" w:after="0"/>
            </w:pPr>
            <w:r>
              <w:rPr>
                <w:rFonts w:ascii="Arial" w:hAnsi="Arial"/>
                <w:b/>
                <w:color w:val="0F1115"/>
                <w:sz w:val="19"/>
              </w:rPr>
              <w:t>4. A benefit read after close, with nobody named to read it</w:t>
            </w:r>
          </w:p>
        </w:tc>
        <w:tc>
          <w:tcPr>
            <w:tcW w:type="dxa" w:w="6803"/>
          </w:tcPr>
          <w:p>
            <w:pPr>
              <w:spacing w:before="0" w:after="0"/>
            </w:pPr>
            <w:r>
              <w:rPr>
                <w:rFonts w:ascii="Arial" w:hAnsi="Arial"/>
                <w:color w:val="0F1115"/>
                <w:sz w:val="19"/>
              </w:rPr>
              <w:t>For each benefit whose target date is after the Planned finish: is its owner someone who stays after close, and does Takes the benefits at close name someone, or say Not needed: and why?</w:t>
            </w:r>
          </w:p>
          <w:p>
            <w:pPr>
              <w:spacing w:before="60" w:after="0"/>
            </w:pPr>
            <w:r>
              <w:rPr>
                <w:rFonts w:ascii="Arial" w:hAnsi="Arial"/>
                <w:color w:val="0F1115"/>
                <w:sz w:val="19"/>
              </w:rPr>
              <w:t>Ask the sponsor who takes the benefits at close. A benefit's owner can differ from the objective's owner; tell the portfolio manager who it is at handover.</w:t>
            </w:r>
          </w:p>
        </w:tc>
      </w:tr>
      <w:tr>
        <w:trPr>
          <w:cantSplit/>
        </w:trPr>
        <w:tc>
          <w:tcPr>
            <w:tcW w:type="dxa" w:w="2835"/>
            <w:shd w:val="clear" w:color="auto" w:fill="F4F5F6"/>
          </w:tcPr>
          <w:p>
            <w:pPr>
              <w:spacing w:before="0" w:after="0"/>
            </w:pPr>
            <w:r>
              <w:rPr>
                <w:rFonts w:ascii="Arial" w:hAnsi="Arial"/>
                <w:b/>
                <w:color w:val="0F1115"/>
                <w:sz w:val="19"/>
              </w:rPr>
              <w:t>5. A benefit in money with no running cost set against it</w:t>
            </w:r>
          </w:p>
        </w:tc>
        <w:tc>
          <w:tcPr>
            <w:tcW w:type="dxa" w:w="6803"/>
          </w:tcPr>
          <w:p>
            <w:pPr>
              <w:spacing w:before="0" w:after="0"/>
            </w:pPr>
            <w:r>
              <w:rPr>
                <w:rFonts w:ascii="Arial" w:hAnsi="Arial"/>
                <w:color w:val="0F1115"/>
                <w:sz w:val="19"/>
              </w:rPr>
              <w:t>Does every benefit with a Worth a year have a row in Table B that comes off it, or does Table B say None with a reason?</w:t>
            </w:r>
          </w:p>
          <w:p>
            <w:pPr>
              <w:spacing w:before="60" w:after="0"/>
            </w:pPr>
            <w:r>
              <w:rPr>
                <w:rFonts w:ascii="Arial" w:hAnsi="Arial"/>
                <w:color w:val="0F1115"/>
                <w:sz w:val="19"/>
              </w:rPr>
              <w:t>Ask Finance what the new thing costs to run each year, and who pays.</w:t>
            </w:r>
          </w:p>
        </w:tc>
      </w:tr>
      <w:tr>
        <w:trPr>
          <w:cantSplit/>
        </w:trPr>
        <w:tc>
          <w:tcPr>
            <w:tcW w:type="dxa" w:w="2835"/>
            <w:shd w:val="clear" w:color="auto" w:fill="F4F5F6"/>
          </w:tcPr>
          <w:p>
            <w:pPr>
              <w:spacing w:before="0" w:after="0"/>
            </w:pPr>
            <w:r>
              <w:rPr>
                <w:rFonts w:ascii="Arial" w:hAnsi="Arial"/>
                <w:b/>
                <w:color w:val="0F1115"/>
                <w:sz w:val="19"/>
              </w:rPr>
              <w:t>6. Shares that don't add up to the Budget</w:t>
            </w:r>
          </w:p>
        </w:tc>
        <w:tc>
          <w:tcPr>
            <w:tcW w:type="dxa" w:w="6803"/>
          </w:tcPr>
          <w:p>
            <w:pPr>
              <w:spacing w:before="0" w:after="0"/>
            </w:pPr>
            <w:r>
              <w:rPr>
                <w:rFonts w:ascii="Arial" w:hAnsi="Arial"/>
                <w:color w:val="0F1115"/>
                <w:sz w:val="19"/>
              </w:rPr>
              <w:t>Do the shares and Held back add up to the Budget, and is the printed total right?</w:t>
            </w:r>
          </w:p>
          <w:p>
            <w:pPr>
              <w:spacing w:before="60" w:after="0"/>
            </w:pPr>
            <w:r>
              <w:rPr>
                <w:rFonts w:ascii="Arial" w:hAnsi="Arial"/>
                <w:color w:val="0F1115"/>
                <w:sz w:val="19"/>
              </w:rPr>
              <w:t>Fix the shares, or change the Budget through section 8.</w:t>
            </w:r>
          </w:p>
        </w:tc>
      </w:tr>
      <w:tr>
        <w:trPr>
          <w:cantSplit/>
        </w:trPr>
        <w:tc>
          <w:tcPr>
            <w:tcW w:type="dxa" w:w="2835"/>
            <w:shd w:val="clear" w:color="auto" w:fill="F4F5F6"/>
          </w:tcPr>
          <w:p>
            <w:pPr>
              <w:spacing w:before="0" w:after="0"/>
            </w:pPr>
            <w:r>
              <w:rPr>
                <w:rFonts w:ascii="Arial" w:hAnsi="Arial"/>
                <w:b/>
                <w:color w:val="0F1115"/>
                <w:sz w:val="19"/>
              </w:rPr>
              <w:t>7. A date out of order, or different from the Register</w:t>
            </w:r>
          </w:p>
        </w:tc>
        <w:tc>
          <w:tcPr>
            <w:tcW w:type="dxa" w:w="6803"/>
          </w:tcPr>
          <w:p>
            <w:pPr>
              <w:spacing w:before="0" w:after="0"/>
            </w:pPr>
            <w:r>
              <w:rPr>
                <w:rFonts w:ascii="Arial" w:hAnsi="Arial"/>
                <w:color w:val="0F1115"/>
                <w:sz w:val="19"/>
              </w:rPr>
              <w:t>Is the Planned finish the Register's? Does each project finish on or before it? Do the decision points run in order, and does each first read come before its target date? Does each Needed by fall on or after its provider's Planned finish, unless Needs names a milestone?</w:t>
            </w:r>
          </w:p>
          <w:p>
            <w:pPr>
              <w:spacing w:before="60" w:after="0"/>
            </w:pPr>
            <w:r>
              <w:rPr>
                <w:rFonts w:ascii="Arial" w:hAnsi="Arial"/>
                <w:color w:val="0F1115"/>
                <w:sz w:val="19"/>
              </w:rPr>
              <w:t>Find which date is wrong and fix it, on the Register first if it's there. A Proposed project with no Planned finish on the Register is noted, not failed.</w:t>
            </w:r>
          </w:p>
        </w:tc>
      </w:tr>
      <w:tr>
        <w:trPr>
          <w:cantSplit/>
        </w:trPr>
        <w:tc>
          <w:tcPr>
            <w:tcW w:type="dxa" w:w="2835"/>
            <w:shd w:val="clear" w:color="auto" w:fill="F4F5F6"/>
          </w:tcPr>
          <w:p>
            <w:pPr>
              <w:spacing w:before="0" w:after="0"/>
            </w:pPr>
            <w:r>
              <w:rPr>
                <w:rFonts w:ascii="Arial" w:hAnsi="Arial"/>
                <w:b/>
                <w:color w:val="0F1115"/>
                <w:sz w:val="19"/>
              </w:rPr>
              <w:t>8. A signed charter with no one named to decide</w:t>
            </w:r>
          </w:p>
        </w:tc>
        <w:tc>
          <w:tcPr>
            <w:tcW w:type="dxa" w:w="6803"/>
          </w:tcPr>
          <w:p>
            <w:pPr>
              <w:spacing w:before="0" w:after="0"/>
            </w:pPr>
            <w:r>
              <w:rPr>
                <w:rFonts w:ascii="Arial" w:hAnsi="Arial"/>
                <w:color w:val="0F1115"/>
                <w:sz w:val="19"/>
              </w:rPr>
              <w:t>Is the Sponsor named? Until the charter is signed, Not yet named is allowed. Does every decision point have one name in Decides? If Charter status reads Signed, has everyone in Table G signed this edition?</w:t>
            </w:r>
          </w:p>
          <w:p>
            <w:pPr>
              <w:spacing w:before="60" w:after="0"/>
            </w:pPr>
            <w:r>
              <w:rPr>
                <w:rFonts w:ascii="Arial" w:hAnsi="Arial"/>
                <w:color w:val="0F1115"/>
                <w:sz w:val="19"/>
              </w:rPr>
              <w:t>Set Charter status back to Waiting to sign until they are.</w:t>
            </w:r>
          </w:p>
        </w:tc>
      </w:tr>
      <w:tr>
        <w:trPr>
          <w:cantSplit/>
        </w:trPr>
        <w:tc>
          <w:tcPr>
            <w:tcW w:type="dxa" w:w="2835"/>
            <w:shd w:val="clear" w:color="auto" w:fill="F4F5F6"/>
          </w:tcPr>
          <w:p>
            <w:pPr>
              <w:spacing w:before="0" w:after="0"/>
            </w:pPr>
            <w:r>
              <w:rPr>
                <w:rFonts w:ascii="Arial" w:hAnsi="Arial"/>
                <w:b/>
                <w:color w:val="0F1115"/>
                <w:sz w:val="19"/>
              </w:rPr>
              <w:t>9. A change since signing that isn't in Table F</w:t>
            </w:r>
          </w:p>
        </w:tc>
        <w:tc>
          <w:tcPr>
            <w:tcW w:type="dxa" w:w="6803"/>
          </w:tcPr>
          <w:p>
            <w:pPr>
              <w:spacing w:before="0" w:after="0"/>
            </w:pPr>
            <w:r>
              <w:rPr>
                <w:rFonts w:ascii="Arial" w:hAnsi="Arial"/>
                <w:color w:val="0F1115"/>
                <w:sz w:val="19"/>
              </w:rPr>
              <w:t>Compared with the last signed edition, has any value, date, share or name in the header or Tables A to E changed with no row in Table F? A name only row covers a rename.</w:t>
            </w:r>
          </w:p>
          <w:p>
            <w:pPr>
              <w:spacing w:before="60" w:after="0"/>
            </w:pPr>
            <w:r>
              <w:rPr>
                <w:rFonts w:ascii="Arial" w:hAnsi="Arial"/>
                <w:color w:val="0F1115"/>
                <w:sz w:val="19"/>
              </w:rPr>
              <w:t>Write the row, and sign the next edition. On edition 1 there's nothing to compare.</w:t>
            </w:r>
          </w:p>
        </w:tc>
      </w:tr>
    </w:tbl>
    <w:p>
      <w:pPr>
        <w:pStyle w:val="Heading1"/>
        <w:keepNext/>
        <w:pageBreakBefore/>
      </w:pPr>
      <w:r>
        <w:t>Review notes</w:t>
      </w:r>
    </w:p>
    <w:p>
      <w:pPr>
        <w:spacing w:before="0" w:after="80"/>
      </w:pPr>
      <w:r>
        <w:rPr>
          <w:rFonts w:ascii="Arial" w:hAnsi="Arial"/>
          <w:color w:val="0F1115"/>
          <w:sz w:val="21"/>
        </w:rPr>
        <w:t>Read on 22 Oct 2026. The Example fails questions 3, 4, 5 and 8 on purpose, and passes 1, 2, 6 and 7. Question 9 needs an earlier signed edition.</w:t>
      </w:r>
    </w:p>
    <w:tbl>
      <w:tblPr>
        <w:tblStyle w:val="TableGrid"/>
        <w:tblW w:type="dxa" w:w="9639"/>
        <w:jc w:val="left"/>
        <w:tblLayout w:type="fixed"/>
        <w:tblLook w:firstColumn="1" w:firstRow="1" w:lastColumn="0" w:lastRow="0" w:noHBand="0" w:noVBand="1" w:val="04A0"/>
        <w:tblBorders>
          <w:top w:val="single" w:sz="4" w:space="0" w:color="BFC3C8"/>
          <w:left w:val="single" w:sz="4" w:space="0" w:color="BFC3C8"/>
          <w:bottom w:val="single" w:sz="4" w:space="0" w:color="BFC3C8"/>
          <w:right w:val="single" w:sz="4" w:space="0" w:color="BFC3C8"/>
          <w:insideH w:val="single" w:sz="4" w:space="0" w:color="BFC3C8"/>
          <w:insideV w:val="single" w:sz="4" w:space="0" w:color="BFC3C8"/>
        </w:tblBorders>
      </w:tblPr>
      <w:tblGrid>
        <w:gridCol w:w="454"/>
        <w:gridCol w:w="2041"/>
        <w:gridCol w:w="1474"/>
        <w:gridCol w:w="5669"/>
      </w:tblGrid>
      <w:tr>
        <w:trPr>
          <w:cantSplit/>
          <w:tblHeader/>
        </w:trPr>
        <w:tc>
          <w:tcPr>
            <w:tcW w:type="dxa" w:w="454"/>
            <w:shd w:val="clear" w:color="auto" w:fill="F4F5F6"/>
          </w:tcPr>
          <w:p>
            <w:pPr>
              <w:spacing w:before="0" w:after="0"/>
            </w:pPr>
            <w:r>
              <w:rPr>
                <w:rFonts w:ascii="Arial" w:hAnsi="Arial"/>
                <w:b/>
                <w:color w:val="0F1115"/>
                <w:sz w:val="19"/>
              </w:rPr>
              <w:t>#</w:t>
            </w:r>
          </w:p>
        </w:tc>
        <w:tc>
          <w:tcPr>
            <w:tcW w:type="dxa" w:w="2041"/>
            <w:shd w:val="clear" w:color="auto" w:fill="F4F5F6"/>
          </w:tcPr>
          <w:p>
            <w:pPr>
              <w:spacing w:before="0" w:after="0"/>
            </w:pPr>
            <w:r>
              <w:rPr>
                <w:rFonts w:ascii="Arial" w:hAnsi="Arial"/>
                <w:b/>
                <w:color w:val="0F1115"/>
                <w:sz w:val="19"/>
              </w:rPr>
              <w:t>Question</w:t>
            </w:r>
          </w:p>
        </w:tc>
        <w:tc>
          <w:tcPr>
            <w:tcW w:type="dxa" w:w="1474"/>
            <w:shd w:val="clear" w:color="auto" w:fill="F4F5F6"/>
          </w:tcPr>
          <w:p>
            <w:pPr>
              <w:spacing w:before="0" w:after="0"/>
            </w:pPr>
            <w:r>
              <w:rPr>
                <w:rFonts w:ascii="Arial" w:hAnsi="Arial"/>
                <w:b/>
                <w:color w:val="0F1115"/>
                <w:sz w:val="19"/>
              </w:rPr>
              <w:t>Result</w:t>
            </w:r>
          </w:p>
        </w:tc>
        <w:tc>
          <w:tcPr>
            <w:tcW w:type="dxa" w:w="5669"/>
            <w:shd w:val="clear" w:color="auto" w:fill="F4F5F6"/>
          </w:tcPr>
          <w:p>
            <w:pPr>
              <w:spacing w:before="0" w:after="0"/>
            </w:pPr>
            <w:r>
              <w:rPr>
                <w:rFonts w:ascii="Arial" w:hAnsi="Arial"/>
                <w:b/>
                <w:color w:val="0F1115"/>
                <w:sz w:val="19"/>
              </w:rPr>
              <w:t>What was found, and where</w:t>
            </w:r>
          </w:p>
        </w:tc>
      </w:tr>
      <w:tr>
        <w:trPr>
          <w:cantSplit/>
        </w:trPr>
        <w:tc>
          <w:tcPr>
            <w:tcW w:type="dxa" w:w="454"/>
          </w:tcPr>
          <w:p>
            <w:pPr>
              <w:spacing w:before="0" w:after="0"/>
            </w:pPr>
            <w:r>
              <w:rPr>
                <w:rFonts w:ascii="Arial" w:hAnsi="Arial"/>
                <w:color w:val="0F1115"/>
                <w:sz w:val="19"/>
              </w:rPr>
              <w:t>1</w:t>
            </w:r>
          </w:p>
        </w:tc>
        <w:tc>
          <w:tcPr>
            <w:tcW w:type="dxa" w:w="2041"/>
          </w:tcPr>
          <w:p>
            <w:pPr>
              <w:spacing w:before="0" w:after="0"/>
            </w:pPr>
            <w:r>
              <w:rPr>
                <w:rFonts w:ascii="Arial" w:hAnsi="Arial"/>
                <w:color w:val="0F1115"/>
                <w:sz w:val="19"/>
              </w:rPr>
              <w:t>A name that differs from the Register</w:t>
            </w:r>
          </w:p>
        </w:tc>
        <w:tc>
          <w:tcPr>
            <w:tcW w:type="dxa" w:w="1474"/>
          </w:tcPr>
          <w:p>
            <w:pPr>
              <w:spacing w:before="0" w:after="0"/>
            </w:pPr>
            <w:r>
              <w:rPr>
                <w:rFonts w:ascii="Arial" w:hAnsi="Arial"/>
                <w:color w:val="0F1115"/>
                <w:sz w:val="19"/>
              </w:rPr>
              <w:t>○ Passes</w:t>
            </w:r>
          </w:p>
        </w:tc>
        <w:tc>
          <w:tcPr>
            <w:tcW w:type="dxa" w:w="5669"/>
          </w:tcPr>
          <w:p>
            <w:pPr>
              <w:spacing w:before="0" w:after="0"/>
            </w:pPr>
            <w:r>
              <w:rPr>
                <w:rFonts w:ascii="Arial" w:hAnsi="Arial"/>
                <w:color w:val="0F1115"/>
                <w:sz w:val="19"/>
              </w:rPr>
              <w:t>Every name matches the Register. Invoice Tax Rules is Proposed, so its Planned finish is blank on the Register; Table C has 1 Feb 2027.</w:t>
            </w:r>
          </w:p>
        </w:tc>
      </w:tr>
      <w:tr>
        <w:trPr>
          <w:cantSplit/>
        </w:trPr>
        <w:tc>
          <w:tcPr>
            <w:tcW w:type="dxa" w:w="454"/>
          </w:tcPr>
          <w:p>
            <w:pPr>
              <w:spacing w:before="0" w:after="0"/>
            </w:pPr>
            <w:r>
              <w:rPr>
                <w:rFonts w:ascii="Arial" w:hAnsi="Arial"/>
                <w:color w:val="0F1115"/>
                <w:sz w:val="19"/>
              </w:rPr>
              <w:t>2</w:t>
            </w:r>
          </w:p>
        </w:tc>
        <w:tc>
          <w:tcPr>
            <w:tcW w:type="dxa" w:w="2041"/>
          </w:tcPr>
          <w:p>
            <w:pPr>
              <w:spacing w:before="0" w:after="0"/>
            </w:pPr>
            <w:r>
              <w:rPr>
                <w:rFonts w:ascii="Arial" w:hAnsi="Arial"/>
                <w:color w:val="0F1115"/>
                <w:sz w:val="19"/>
              </w:rPr>
              <w:t>A benefit nobody outside the program would notice</w:t>
            </w:r>
          </w:p>
        </w:tc>
        <w:tc>
          <w:tcPr>
            <w:tcW w:type="dxa" w:w="1474"/>
          </w:tcPr>
          <w:p>
            <w:pPr>
              <w:spacing w:before="0" w:after="0"/>
            </w:pPr>
            <w:r>
              <w:rPr>
                <w:rFonts w:ascii="Arial" w:hAnsi="Arial"/>
                <w:color w:val="0F1115"/>
                <w:sz w:val="19"/>
              </w:rPr>
              <w:t>○ Passes</w:t>
            </w:r>
          </w:p>
        </w:tc>
        <w:tc>
          <w:tcPr>
            <w:tcW w:type="dxa" w:w="5669"/>
          </w:tcPr>
          <w:p>
            <w:pPr>
              <w:spacing w:before="0" w:after="0"/>
            </w:pPr>
            <w:r>
              <w:rPr>
                <w:rFonts w:ascii="Arial" w:hAnsi="Arial"/>
                <w:color w:val="0F1115"/>
                <w:sz w:val="19"/>
              </w:rPr>
              <w:t>All three benefits count something that changes once billing runs on the new engine: invoices, corrections and cost.</w:t>
            </w:r>
          </w:p>
        </w:tc>
      </w:tr>
      <w:tr>
        <w:trPr>
          <w:cantSplit/>
        </w:trPr>
        <w:tc>
          <w:tcPr>
            <w:tcW w:type="dxa" w:w="454"/>
          </w:tcPr>
          <w:p>
            <w:pPr>
              <w:spacing w:before="0" w:after="0"/>
            </w:pPr>
            <w:r>
              <w:rPr>
                <w:rFonts w:ascii="Arial" w:hAnsi="Arial"/>
                <w:color w:val="0F1115"/>
                <w:sz w:val="19"/>
              </w:rPr>
              <w:t>3</w:t>
            </w:r>
          </w:p>
        </w:tc>
        <w:tc>
          <w:tcPr>
            <w:tcW w:type="dxa" w:w="2041"/>
          </w:tcPr>
          <w:p>
            <w:pPr>
              <w:spacing w:before="0" w:after="0"/>
            </w:pPr>
            <w:r>
              <w:rPr>
                <w:rFonts w:ascii="Arial" w:hAnsi="Arial"/>
                <w:color w:val="0F1115"/>
                <w:sz w:val="19"/>
              </w:rPr>
              <w:t>A benefit that can't be measured yet</w:t>
            </w:r>
          </w:p>
        </w:tc>
        <w:tc>
          <w:tcPr>
            <w:tcW w:type="dxa" w:w="1474"/>
          </w:tcPr>
          <w:p>
            <w:pPr>
              <w:spacing w:before="0" w:after="0"/>
            </w:pPr>
            <w:r>
              <w:rPr>
                <w:rFonts w:ascii="Arial" w:hAnsi="Arial"/>
                <w:color w:val="CD2B31"/>
                <w:sz w:val="19"/>
              </w:rPr>
              <w:t>△ Fails</w:t>
            </w:r>
          </w:p>
        </w:tc>
        <w:tc>
          <w:tcPr>
            <w:tcW w:type="dxa" w:w="5669"/>
          </w:tcPr>
          <w:p>
            <w:pPr>
              <w:spacing w:before="0" w:after="0"/>
            </w:pPr>
            <w:r>
              <w:rPr>
                <w:rFonts w:ascii="Arial" w:hAnsi="Arial"/>
                <w:color w:val="0F1115"/>
                <w:sz w:val="19"/>
              </w:rPr>
              <w:t>Fewer invoice corrections has no baseline and no baseline date (Table A, row 2).</w:t>
            </w:r>
          </w:p>
        </w:tc>
      </w:tr>
      <w:tr>
        <w:trPr>
          <w:cantSplit/>
        </w:trPr>
        <w:tc>
          <w:tcPr>
            <w:tcW w:type="dxa" w:w="454"/>
          </w:tcPr>
          <w:p>
            <w:pPr>
              <w:spacing w:before="0" w:after="0"/>
            </w:pPr>
            <w:r>
              <w:rPr>
                <w:rFonts w:ascii="Arial" w:hAnsi="Arial"/>
                <w:color w:val="0F1115"/>
                <w:sz w:val="19"/>
              </w:rPr>
              <w:t>4</w:t>
            </w:r>
          </w:p>
        </w:tc>
        <w:tc>
          <w:tcPr>
            <w:tcW w:type="dxa" w:w="2041"/>
          </w:tcPr>
          <w:p>
            <w:pPr>
              <w:spacing w:before="0" w:after="0"/>
            </w:pPr>
            <w:r>
              <w:rPr>
                <w:rFonts w:ascii="Arial" w:hAnsi="Arial"/>
                <w:color w:val="0F1115"/>
                <w:sz w:val="19"/>
              </w:rPr>
              <w:t>A benefit read after close, with nobody named to read it</w:t>
            </w:r>
          </w:p>
        </w:tc>
        <w:tc>
          <w:tcPr>
            <w:tcW w:type="dxa" w:w="1474"/>
          </w:tcPr>
          <w:p>
            <w:pPr>
              <w:spacing w:before="0" w:after="0"/>
            </w:pPr>
            <w:r>
              <w:rPr>
                <w:rFonts w:ascii="Arial" w:hAnsi="Arial"/>
                <w:color w:val="CD2B31"/>
                <w:sz w:val="19"/>
              </w:rPr>
              <w:t>△ Fails</w:t>
            </w:r>
          </w:p>
        </w:tc>
        <w:tc>
          <w:tcPr>
            <w:tcW w:type="dxa" w:w="5669"/>
          </w:tcPr>
          <w:p>
            <w:pPr>
              <w:spacing w:before="0" w:after="0"/>
            </w:pPr>
            <w:r>
              <w:rPr>
                <w:rFonts w:ascii="Arial" w:hAnsi="Arial"/>
                <w:color w:val="0F1115"/>
                <w:sz w:val="19"/>
              </w:rPr>
              <w:t>All three benefits are read after the program closes on 30 Jun 2027, and nobody is named to take the benefits at close (section 7). Invoices from the new engine's owner is the program manager, Hugo, whose role ends at close (Table A, row 1).</w:t>
            </w:r>
          </w:p>
        </w:tc>
      </w:tr>
      <w:tr>
        <w:trPr>
          <w:cantSplit/>
        </w:trPr>
        <w:tc>
          <w:tcPr>
            <w:tcW w:type="dxa" w:w="454"/>
          </w:tcPr>
          <w:p>
            <w:pPr>
              <w:spacing w:before="0" w:after="0"/>
            </w:pPr>
            <w:r>
              <w:rPr>
                <w:rFonts w:ascii="Arial" w:hAnsi="Arial"/>
                <w:color w:val="0F1115"/>
                <w:sz w:val="19"/>
              </w:rPr>
              <w:t>5</w:t>
            </w:r>
          </w:p>
        </w:tc>
        <w:tc>
          <w:tcPr>
            <w:tcW w:type="dxa" w:w="2041"/>
          </w:tcPr>
          <w:p>
            <w:pPr>
              <w:spacing w:before="0" w:after="0"/>
            </w:pPr>
            <w:r>
              <w:rPr>
                <w:rFonts w:ascii="Arial" w:hAnsi="Arial"/>
                <w:color w:val="0F1115"/>
                <w:sz w:val="19"/>
              </w:rPr>
              <w:t>A benefit in money with no running cost set against it</w:t>
            </w:r>
          </w:p>
        </w:tc>
        <w:tc>
          <w:tcPr>
            <w:tcW w:type="dxa" w:w="1474"/>
          </w:tcPr>
          <w:p>
            <w:pPr>
              <w:spacing w:before="0" w:after="0"/>
            </w:pPr>
            <w:r>
              <w:rPr>
                <w:rFonts w:ascii="Arial" w:hAnsi="Arial"/>
                <w:color w:val="CD2B31"/>
                <w:sz w:val="19"/>
              </w:rPr>
              <w:t>△ Fails</w:t>
            </w:r>
          </w:p>
        </w:tc>
        <w:tc>
          <w:tcPr>
            <w:tcW w:type="dxa" w:w="5669"/>
          </w:tcPr>
          <w:p>
            <w:pPr>
              <w:spacing w:before="0" w:after="0"/>
            </w:pPr>
            <w:r>
              <w:rPr>
                <w:rFonts w:ascii="Arial" w:hAnsi="Arial"/>
                <w:color w:val="0F1115"/>
                <w:sz w:val="19"/>
              </w:rPr>
              <w:t>Cheaper to run billing is worth 310,000 a year, and Table B says None, with no reason in Note. Finance puts the new engine's hosting and support at 140,000 a year, in no budget line.</w:t>
            </w:r>
          </w:p>
        </w:tc>
      </w:tr>
      <w:tr>
        <w:trPr>
          <w:cantSplit/>
        </w:trPr>
        <w:tc>
          <w:tcPr>
            <w:tcW w:type="dxa" w:w="454"/>
          </w:tcPr>
          <w:p>
            <w:pPr>
              <w:spacing w:before="0" w:after="0"/>
            </w:pPr>
            <w:r>
              <w:rPr>
                <w:rFonts w:ascii="Arial" w:hAnsi="Arial"/>
                <w:color w:val="0F1115"/>
                <w:sz w:val="19"/>
              </w:rPr>
              <w:t>6</w:t>
            </w:r>
          </w:p>
        </w:tc>
        <w:tc>
          <w:tcPr>
            <w:tcW w:type="dxa" w:w="2041"/>
          </w:tcPr>
          <w:p>
            <w:pPr>
              <w:spacing w:before="0" w:after="0"/>
            </w:pPr>
            <w:r>
              <w:rPr>
                <w:rFonts w:ascii="Arial" w:hAnsi="Arial"/>
                <w:color w:val="0F1115"/>
                <w:sz w:val="19"/>
              </w:rPr>
              <w:t>Shares that don't add up to the Budget</w:t>
            </w:r>
          </w:p>
        </w:tc>
        <w:tc>
          <w:tcPr>
            <w:tcW w:type="dxa" w:w="1474"/>
          </w:tcPr>
          <w:p>
            <w:pPr>
              <w:spacing w:before="0" w:after="0"/>
            </w:pPr>
            <w:r>
              <w:rPr>
                <w:rFonts w:ascii="Arial" w:hAnsi="Arial"/>
                <w:color w:val="0F1115"/>
                <w:sz w:val="19"/>
              </w:rPr>
              <w:t>○ Passes</w:t>
            </w:r>
          </w:p>
        </w:tc>
        <w:tc>
          <w:tcPr>
            <w:tcW w:type="dxa" w:w="5669"/>
          </w:tcPr>
          <w:p>
            <w:pPr>
              <w:spacing w:before="0" w:after="0"/>
            </w:pPr>
            <w:r>
              <w:rPr>
                <w:rFonts w:ascii="Arial" w:hAnsi="Arial"/>
                <w:color w:val="0F1115"/>
                <w:sz w:val="19"/>
              </w:rPr>
              <w:t>780,000 and 120,000, with 0 held back, make 900,000: the Budget, and the printed total.</w:t>
            </w:r>
          </w:p>
        </w:tc>
      </w:tr>
      <w:tr>
        <w:trPr>
          <w:cantSplit/>
        </w:trPr>
        <w:tc>
          <w:tcPr>
            <w:tcW w:type="dxa" w:w="454"/>
          </w:tcPr>
          <w:p>
            <w:pPr>
              <w:spacing w:before="0" w:after="0"/>
            </w:pPr>
            <w:r>
              <w:rPr>
                <w:rFonts w:ascii="Arial" w:hAnsi="Arial"/>
                <w:color w:val="0F1115"/>
                <w:sz w:val="19"/>
              </w:rPr>
              <w:t>7</w:t>
            </w:r>
          </w:p>
        </w:tc>
        <w:tc>
          <w:tcPr>
            <w:tcW w:type="dxa" w:w="2041"/>
          </w:tcPr>
          <w:p>
            <w:pPr>
              <w:spacing w:before="0" w:after="0"/>
            </w:pPr>
            <w:r>
              <w:rPr>
                <w:rFonts w:ascii="Arial" w:hAnsi="Arial"/>
                <w:color w:val="0F1115"/>
                <w:sz w:val="19"/>
              </w:rPr>
              <w:t>A date out of order, or different from the Register</w:t>
            </w:r>
          </w:p>
        </w:tc>
        <w:tc>
          <w:tcPr>
            <w:tcW w:type="dxa" w:w="1474"/>
          </w:tcPr>
          <w:p>
            <w:pPr>
              <w:spacing w:before="0" w:after="0"/>
            </w:pPr>
            <w:r>
              <w:rPr>
                <w:rFonts w:ascii="Arial" w:hAnsi="Arial"/>
                <w:color w:val="0F1115"/>
                <w:sz w:val="19"/>
              </w:rPr>
              <w:t>○ Passes</w:t>
            </w:r>
          </w:p>
        </w:tc>
        <w:tc>
          <w:tcPr>
            <w:tcW w:type="dxa" w:w="5669"/>
          </w:tcPr>
          <w:p>
            <w:pPr>
              <w:spacing w:before="0" w:after="0"/>
            </w:pPr>
            <w:r>
              <w:rPr>
                <w:rFonts w:ascii="Arial" w:hAnsi="Arial"/>
                <w:color w:val="0F1115"/>
                <w:sz w:val="19"/>
              </w:rPr>
              <w:t>The Planned finish is the Register's. Both projects finish by it, the decision points run in order, and every first read comes before its target date. The Data Migration Wave 2 row is needed by 29 Jan 2027, before that project's finish, and names its milestone.</w:t>
            </w:r>
          </w:p>
        </w:tc>
      </w:tr>
      <w:tr>
        <w:trPr>
          <w:cantSplit/>
        </w:trPr>
        <w:tc>
          <w:tcPr>
            <w:tcW w:type="dxa" w:w="454"/>
          </w:tcPr>
          <w:p>
            <w:pPr>
              <w:spacing w:before="0" w:after="0"/>
            </w:pPr>
            <w:r>
              <w:rPr>
                <w:rFonts w:ascii="Arial" w:hAnsi="Arial"/>
                <w:color w:val="0F1115"/>
                <w:sz w:val="19"/>
              </w:rPr>
              <w:t>8</w:t>
            </w:r>
          </w:p>
        </w:tc>
        <w:tc>
          <w:tcPr>
            <w:tcW w:type="dxa" w:w="2041"/>
          </w:tcPr>
          <w:p>
            <w:pPr>
              <w:spacing w:before="0" w:after="0"/>
            </w:pPr>
            <w:r>
              <w:rPr>
                <w:rFonts w:ascii="Arial" w:hAnsi="Arial"/>
                <w:color w:val="0F1115"/>
                <w:sz w:val="19"/>
              </w:rPr>
              <w:t>A signed charter with no one named to decide</w:t>
            </w:r>
          </w:p>
        </w:tc>
        <w:tc>
          <w:tcPr>
            <w:tcW w:type="dxa" w:w="1474"/>
          </w:tcPr>
          <w:p>
            <w:pPr>
              <w:spacing w:before="0" w:after="0"/>
            </w:pPr>
            <w:r>
              <w:rPr>
                <w:rFonts w:ascii="Arial" w:hAnsi="Arial"/>
                <w:color w:val="CD2B31"/>
                <w:sz w:val="19"/>
              </w:rPr>
              <w:t>△ Fails</w:t>
            </w:r>
          </w:p>
        </w:tc>
        <w:tc>
          <w:tcPr>
            <w:tcW w:type="dxa" w:w="5669"/>
          </w:tcPr>
          <w:p>
            <w:pPr>
              <w:spacing w:before="0" w:after="0"/>
            </w:pPr>
            <w:r>
              <w:rPr>
                <w:rFonts w:ascii="Arial" w:hAnsi="Arial"/>
                <w:color w:val="0F1115"/>
                <w:sz w:val="19"/>
              </w:rPr>
              <w:t>The charter reads Signed. The Sponsor is Not yet named (header), the three Strategic reviews have nobody in Decides (Table D), and the Sponsor's and Rhys's rows aren't signed (Table G).</w:t>
            </w:r>
          </w:p>
        </w:tc>
      </w:tr>
      <w:tr>
        <w:trPr>
          <w:cantSplit/>
        </w:trPr>
        <w:tc>
          <w:tcPr>
            <w:tcW w:type="dxa" w:w="454"/>
          </w:tcPr>
          <w:p>
            <w:pPr>
              <w:spacing w:before="0" w:after="0"/>
            </w:pPr>
            <w:r>
              <w:rPr>
                <w:rFonts w:ascii="Arial" w:hAnsi="Arial"/>
                <w:color w:val="0F1115"/>
                <w:sz w:val="19"/>
              </w:rPr>
              <w:t>9</w:t>
            </w:r>
          </w:p>
        </w:tc>
        <w:tc>
          <w:tcPr>
            <w:tcW w:type="dxa" w:w="2041"/>
          </w:tcPr>
          <w:p>
            <w:pPr>
              <w:spacing w:before="0" w:after="0"/>
            </w:pPr>
            <w:r>
              <w:rPr>
                <w:rFonts w:ascii="Arial" w:hAnsi="Arial"/>
                <w:color w:val="0F1115"/>
                <w:sz w:val="19"/>
              </w:rPr>
              <w:t>A change since signing that isn't in Table F</w:t>
            </w:r>
          </w:p>
        </w:tc>
        <w:tc>
          <w:tcPr>
            <w:tcW w:type="dxa" w:w="1474"/>
          </w:tcPr>
          <w:p>
            <w:pPr>
              <w:spacing w:before="0" w:after="0"/>
            </w:pPr>
            <w:r>
              <w:rPr>
                <w:rFonts w:ascii="Arial" w:hAnsi="Arial"/>
                <w:color w:val="0F1115"/>
                <w:sz w:val="19"/>
              </w:rPr>
              <w:t>Not done: no earlier signed edition</w:t>
            </w:r>
          </w:p>
        </w:tc>
        <w:tc>
          <w:tcPr>
            <w:tcW w:type="dxa" w:w="5669"/>
          </w:tcPr>
          <w:p>
            <w:pPr>
              <w:spacing w:before="0" w:after="0"/>
            </w:pPr>
            <w:r>
              <w:rPr>
                <w:rFonts w:ascii="Arial" w:hAnsi="Arial"/>
                <w:color w:val="0F1115"/>
                <w:sz w:val="19"/>
              </w:rPr>
              <w:t>This is edition 1.</w:t>
            </w:r>
          </w:p>
        </w:tc>
      </w:tr>
    </w:tbl>
    <w:sectPr w:rsidR="00FC693F" w:rsidRPr="0006063C" w:rsidSect="00034616">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color w:val="0F11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Arial" w:hAnsi="Arial" w:eastAsia="Arial" w:cs="Arial"/>
      <w:b/>
      <w:bCs/>
      <w:i w:val="0"/>
      <w:color w:val="0F1115"/>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i w:val="0"/>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s="Arial"/>
      <w:color w:val="0F1115"/>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eastAsia="Arial" w:cs="Arial"/>
      <w:color w:val="0F1115"/>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charter</dc:title>
  <dc:subject/>
  <dc:creator>FRQZ</dc:creator>
  <cp:keywords/>
  <dc:description/>
  <cp:lastModifiedBy>FRQZ</cp:lastModifiedBy>
  <cp:revision>1</cp:revision>
  <dcterms:created xsi:type="dcterms:W3CDTF">2026-10-22T09:00:00Z</dcterms:created>
  <dcterms:modified xsi:type="dcterms:W3CDTF">2026-10-22T09:00:00Z</dcterms:modified>
  <cp:category/>
</cp:coreProperties>
</file>