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right"/>
        <w:tblBorders>
          <w:top w:val="nil"/>
          <w:left w:val="nil"/>
          <w:bottom w:val="nil"/>
          <w:right w:val="nil"/>
          <w:insideH w:val="nil"/>
          <w:insideV w:val="nil"/>
        </w:tblBorders>
        <w:tblLayout w:type="fixed"/>
        <w:tblLook w:firstColumn="1" w:firstRow="1" w:lastColumn="0" w:lastRow="0" w:noHBand="0" w:noVBand="1" w:val="04A0"/>
      </w:tblPr>
      <w:tblGrid>
        <w:gridCol w:w="2041"/>
      </w:tblGrid>
      <w:tr>
        <w:trPr>
          <w:cantSplit/>
        </w:trPr>
        <w:tc>
          <w:tcPr>
            <w:tcW w:type="dxa" w:w="2041"/>
          </w:tcPr>
          <w:p>
            <w:pPr>
              <w:spacing w:after="0"/>
              <w:jc w:val="right"/>
            </w:pPr>
            <w:r>
              <w:drawing>
                <wp:inline xmlns:a="http://schemas.openxmlformats.org/drawingml/2006/main" xmlns:pic="http://schemas.openxmlformats.org/drawingml/2006/picture">
                  <wp:extent cx="1080000" cy="265846"/>
                  <wp:docPr id="1" name="Picture 1" descr="FRQZ logo" title="FRQZ logo"/>
                  <wp:cNvGraphicFramePr>
                    <a:graphicFrameLocks noChangeAspect="1"/>
                  </wp:cNvGraphicFramePr>
                  <a:graphic>
                    <a:graphicData uri="http://schemas.openxmlformats.org/drawingml/2006/picture">
                      <pic:pic>
                        <pic:nvPicPr>
                          <pic:cNvPr id="0" name="frqz-lockup.png"/>
                          <pic:cNvPicPr/>
                        </pic:nvPicPr>
                        <pic:blipFill>
                          <a:blip r:embed="rId9"/>
                          <a:stretch>
                            <a:fillRect/>
                          </a:stretch>
                        </pic:blipFill>
                        <pic:spPr>
                          <a:xfrm>
                            <a:off x="0" y="0"/>
                            <a:ext cx="1080000" cy="265846"/>
                          </a:xfrm>
                          <a:prstGeom prst="rect"/>
                        </pic:spPr>
                      </pic:pic>
                    </a:graphicData>
                  </a:graphic>
                </wp:inline>
              </w:drawing>
            </w:r>
          </w:p>
        </w:tc>
      </w:tr>
    </w:tbl>
    <w:p>
      <w:pPr>
        <w:keepNext w:val="0"/>
        <w:shd w:val="clear" w:color="auto" w:fill="ECEEF0"/>
        <w:spacing w:after="120" w:before="120"/>
      </w:pPr>
      <w:r>
        <w:rPr>
          <w:b/>
          <w:i w:val="0"/>
          <w:color w:val="0F1115"/>
          <w:sz w:val="21"/>
        </w:rPr>
        <w:t>Example. Hollins Software and everyone in it are made up. Billing Engine Rewrite, as of 22 Oct 2026. The last page says which review questions it fails on purpose.</w:t>
      </w:r>
    </w:p>
    <w:p>
      <w:pPr>
        <w:pStyle w:val="Title"/>
        <w:spacing w:after="40"/>
      </w:pPr>
      <w:r>
        <w:rPr>
          <w:b/>
          <w:i w:val="0"/>
          <w:color w:val="0F1115"/>
          <w:sz w:val="40"/>
        </w:rPr>
        <w:t>Project charter</w:t>
      </w:r>
    </w:p>
    <w:p>
      <w:pPr>
        <w:keepNext w:val="0"/>
        <w:spacing w:after="200" w:before="0"/>
      </w:pPr>
      <w:r>
        <w:rPr>
          <w:b w:val="0"/>
          <w:i w:val="0"/>
          <w:color w:val="0F1115"/>
          <w:sz w:val="28"/>
        </w:rPr>
        <w:t>Billing Engine Rewrite</w:t>
      </w: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3061"/>
        <w:gridCol w:w="6576"/>
      </w:tblGrid>
      <w:tr>
        <w:trPr>
          <w:cantSplit/>
        </w:trPr>
        <w:tc>
          <w:tcPr>
            <w:tcW w:type="dxa" w:w="3061"/>
          </w:tcPr>
          <w:p>
            <w:pPr>
              <w:spacing w:after="0"/>
            </w:pPr>
            <w:r>
              <w:rPr>
                <w:b/>
                <w:i w:val="0"/>
                <w:color w:val="0F1115"/>
                <w:sz w:val="21"/>
              </w:rPr>
              <w:t>Name</w:t>
            </w:r>
          </w:p>
        </w:tc>
        <w:tc>
          <w:tcPr>
            <w:tcW w:type="dxa" w:w="6576"/>
          </w:tcPr>
          <w:p>
            <w:pPr>
              <w:spacing w:after="0"/>
            </w:pPr>
            <w:r>
              <w:rPr>
                <w:b w:val="0"/>
                <w:i w:val="0"/>
                <w:color w:val="0F1115"/>
                <w:sz w:val="21"/>
              </w:rPr>
              <w:t>Billing Engine Rewrite</w:t>
            </w:r>
          </w:p>
        </w:tc>
      </w:tr>
      <w:tr>
        <w:trPr>
          <w:cantSplit/>
        </w:trPr>
        <w:tc>
          <w:tcPr>
            <w:tcW w:type="dxa" w:w="3061"/>
          </w:tcPr>
          <w:p>
            <w:pPr>
              <w:spacing w:after="0"/>
            </w:pPr>
            <w:r>
              <w:rPr>
                <w:b/>
                <w:i w:val="0"/>
                <w:color w:val="0F1115"/>
                <w:sz w:val="21"/>
              </w:rPr>
              <w:t>Sits under</w:t>
            </w:r>
          </w:p>
        </w:tc>
        <w:tc>
          <w:tcPr>
            <w:tcW w:type="dxa" w:w="6576"/>
          </w:tcPr>
          <w:p>
            <w:pPr>
              <w:spacing w:after="0"/>
            </w:pPr>
            <w:r>
              <w:rPr>
                <w:b w:val="0"/>
                <w:i w:val="0"/>
                <w:color w:val="0F1115"/>
                <w:sz w:val="21"/>
              </w:rPr>
              <w:t>Billing and Payments Program</w:t>
            </w:r>
          </w:p>
        </w:tc>
      </w:tr>
      <w:tr>
        <w:trPr>
          <w:cantSplit/>
        </w:trPr>
        <w:tc>
          <w:tcPr>
            <w:tcW w:type="dxa" w:w="3061"/>
          </w:tcPr>
          <w:p>
            <w:pPr>
              <w:spacing w:after="0"/>
            </w:pPr>
            <w:r>
              <w:rPr>
                <w:b/>
                <w:i w:val="0"/>
                <w:color w:val="0F1115"/>
                <w:sz w:val="21"/>
              </w:rPr>
              <w:t>Level</w:t>
            </w:r>
          </w:p>
        </w:tc>
        <w:tc>
          <w:tcPr>
            <w:tcW w:type="dxa" w:w="6576"/>
          </w:tcPr>
          <w:p>
            <w:pPr>
              <w:spacing w:after="0"/>
            </w:pPr>
            <w:r>
              <w:rPr>
                <w:b w:val="0"/>
                <w:i w:val="0"/>
                <w:color w:val="0F1115"/>
                <w:sz w:val="21"/>
              </w:rPr>
              <w:t>Project</w:t>
            </w:r>
          </w:p>
        </w:tc>
      </w:tr>
      <w:tr>
        <w:trPr>
          <w:cantSplit/>
        </w:trPr>
        <w:tc>
          <w:tcPr>
            <w:tcW w:type="dxa" w:w="3061"/>
          </w:tcPr>
          <w:p>
            <w:pPr>
              <w:spacing w:after="0"/>
            </w:pPr>
            <w:r>
              <w:rPr>
                <w:b/>
                <w:i w:val="0"/>
                <w:color w:val="0F1115"/>
                <w:sz w:val="21"/>
              </w:rPr>
              <w:t>Approach</w:t>
            </w:r>
          </w:p>
        </w:tc>
        <w:tc>
          <w:tcPr>
            <w:tcW w:type="dxa" w:w="6576"/>
          </w:tcPr>
          <w:p>
            <w:pPr>
              <w:spacing w:after="0"/>
            </w:pPr>
            <w:r>
              <w:rPr>
                <w:b w:val="0"/>
                <w:i w:val="0"/>
                <w:color w:val="0F1115"/>
                <w:sz w:val="21"/>
              </w:rPr>
              <w:t>Waterfall</w:t>
            </w:r>
          </w:p>
        </w:tc>
      </w:tr>
      <w:tr>
        <w:trPr>
          <w:cantSplit/>
        </w:trPr>
        <w:tc>
          <w:tcPr>
            <w:tcW w:type="dxa" w:w="3061"/>
          </w:tcPr>
          <w:p>
            <w:pPr>
              <w:spacing w:after="0"/>
            </w:pPr>
            <w:r>
              <w:rPr>
                <w:b/>
                <w:i w:val="0"/>
                <w:color w:val="0F1115"/>
                <w:sz w:val="21"/>
              </w:rPr>
              <w:t>Objective</w:t>
            </w:r>
          </w:p>
        </w:tc>
        <w:tc>
          <w:tcPr>
            <w:tcW w:type="dxa" w:w="6576"/>
          </w:tcPr>
          <w:p>
            <w:pPr>
              <w:spacing w:after="0"/>
            </w:pPr>
            <w:r>
              <w:rPr>
                <w:b w:val="0"/>
                <w:i w:val="0"/>
                <w:color w:val="0F1115"/>
                <w:sz w:val="21"/>
              </w:rPr>
              <w:t>Move all billing to the new engine before renewals</w:t>
            </w:r>
          </w:p>
        </w:tc>
      </w:tr>
      <w:tr>
        <w:trPr>
          <w:cantSplit/>
        </w:trPr>
        <w:tc>
          <w:tcPr>
            <w:tcW w:type="dxa" w:w="3061"/>
          </w:tcPr>
          <w:p>
            <w:pPr>
              <w:spacing w:after="0"/>
            </w:pPr>
            <w:r>
              <w:rPr>
                <w:b/>
                <w:i w:val="0"/>
                <w:color w:val="0F1115"/>
                <w:sz w:val="21"/>
              </w:rPr>
              <w:t>Owner</w:t>
            </w:r>
          </w:p>
        </w:tc>
        <w:tc>
          <w:tcPr>
            <w:tcW w:type="dxa" w:w="6576"/>
          </w:tcPr>
          <w:p>
            <w:pPr>
              <w:spacing w:after="0"/>
            </w:pPr>
            <w:r>
              <w:rPr>
                <w:b w:val="0"/>
                <w:i w:val="0"/>
                <w:color w:val="0F1115"/>
                <w:sz w:val="21"/>
              </w:rPr>
              <w:t>Anders (Engineering Manager)</w:t>
            </w:r>
          </w:p>
        </w:tc>
      </w:tr>
      <w:tr>
        <w:trPr>
          <w:cantSplit/>
        </w:trPr>
        <w:tc>
          <w:tcPr>
            <w:tcW w:type="dxa" w:w="3061"/>
          </w:tcPr>
          <w:p>
            <w:pPr>
              <w:spacing w:after="0"/>
            </w:pPr>
            <w:r>
              <w:rPr>
                <w:b/>
                <w:i w:val="0"/>
                <w:color w:val="0F1115"/>
                <w:sz w:val="21"/>
              </w:rPr>
              <w:t>Sponsor</w:t>
            </w:r>
          </w:p>
        </w:tc>
        <w:tc>
          <w:tcPr>
            <w:tcW w:type="dxa" w:w="6576"/>
          </w:tcPr>
          <w:p>
            <w:pPr>
              <w:spacing w:after="0"/>
            </w:pPr>
            <w:r>
              <w:rPr>
                <w:b w:val="0"/>
                <w:i w:val="0"/>
                <w:color w:val="0F1115"/>
                <w:sz w:val="21"/>
              </w:rPr>
              <w:t>Hugo (Program Manager)</w:t>
            </w:r>
          </w:p>
        </w:tc>
      </w:tr>
      <w:tr>
        <w:trPr>
          <w:cantSplit/>
        </w:trPr>
        <w:tc>
          <w:tcPr>
            <w:tcW w:type="dxa" w:w="3061"/>
          </w:tcPr>
          <w:p>
            <w:pPr>
              <w:spacing w:after="0"/>
            </w:pPr>
            <w:r>
              <w:rPr>
                <w:b/>
                <w:i w:val="0"/>
                <w:color w:val="0F1115"/>
                <w:sz w:val="21"/>
              </w:rPr>
              <w:t>Status</w:t>
            </w:r>
          </w:p>
        </w:tc>
        <w:tc>
          <w:tcPr>
            <w:tcW w:type="dxa" w:w="6576"/>
          </w:tcPr>
          <w:p>
            <w:pPr>
              <w:spacing w:after="0"/>
            </w:pPr>
            <w:r>
              <w:rPr>
                <w:b w:val="0"/>
                <w:i w:val="0"/>
                <w:color w:val="0F1115"/>
                <w:sz w:val="21"/>
              </w:rPr>
              <w:t>Active</w:t>
            </w:r>
          </w:p>
        </w:tc>
      </w:tr>
      <w:tr>
        <w:trPr>
          <w:cantSplit/>
        </w:trPr>
        <w:tc>
          <w:tcPr>
            <w:tcW w:type="dxa" w:w="3061"/>
          </w:tcPr>
          <w:p>
            <w:pPr>
              <w:spacing w:after="0"/>
            </w:pPr>
            <w:r>
              <w:rPr>
                <w:b/>
                <w:i w:val="0"/>
                <w:color w:val="0F1115"/>
                <w:sz w:val="21"/>
              </w:rPr>
              <w:t>Planned finish</w:t>
            </w:r>
          </w:p>
        </w:tc>
        <w:tc>
          <w:tcPr>
            <w:tcW w:type="dxa" w:w="6576"/>
          </w:tcPr>
          <w:p>
            <w:pPr>
              <w:spacing w:after="0"/>
            </w:pPr>
            <w:r>
              <w:rPr>
                <w:b w:val="0"/>
                <w:i w:val="0"/>
                <w:color w:val="0F1115"/>
                <w:sz w:val="21"/>
              </w:rPr>
              <w:t>30 Jun 2027</w:t>
            </w:r>
          </w:p>
        </w:tc>
      </w:tr>
      <w:tr>
        <w:trPr>
          <w:cantSplit/>
        </w:trPr>
        <w:tc>
          <w:tcPr>
            <w:tcW w:type="dxa" w:w="3061"/>
          </w:tcPr>
          <w:p>
            <w:pPr>
              <w:spacing w:after="0"/>
            </w:pPr>
            <w:r>
              <w:rPr>
                <w:b/>
                <w:i w:val="0"/>
                <w:color w:val="0F1115"/>
                <w:sz w:val="21"/>
              </w:rPr>
              <w:t>Share of the envelope</w:t>
            </w:r>
          </w:p>
        </w:tc>
        <w:tc>
          <w:tcPr>
            <w:tcW w:type="dxa" w:w="6576"/>
          </w:tcPr>
          <w:p>
            <w:pPr>
              <w:spacing w:after="0"/>
            </w:pPr>
            <w:r>
              <w:rPr>
                <w:b w:val="0"/>
                <w:i w:val="0"/>
                <w:color w:val="0F1115"/>
                <w:sz w:val="21"/>
              </w:rPr>
              <w:t>780,000 (US dollars)</w:t>
            </w:r>
          </w:p>
        </w:tc>
      </w:tr>
      <w:tr>
        <w:trPr>
          <w:cantSplit/>
        </w:trPr>
        <w:tc>
          <w:tcPr>
            <w:tcW w:type="dxa" w:w="3061"/>
          </w:tcPr>
          <w:p>
            <w:pPr>
              <w:spacing w:after="0"/>
            </w:pPr>
            <w:r>
              <w:rPr>
                <w:b/>
                <w:i w:val="0"/>
                <w:color w:val="0F1115"/>
                <w:sz w:val="21"/>
              </w:rPr>
              <w:t>Program charter edition</w:t>
            </w:r>
          </w:p>
        </w:tc>
        <w:tc>
          <w:tcPr>
            <w:tcW w:type="dxa" w:w="6576"/>
          </w:tcPr>
          <w:p>
            <w:pPr>
              <w:spacing w:after="0"/>
            </w:pPr>
            <w:r>
              <w:rPr>
                <w:b w:val="0"/>
                <w:i w:val="0"/>
                <w:color w:val="0F1115"/>
                <w:sz w:val="21"/>
              </w:rPr>
              <w:t>1</w:t>
            </w:r>
          </w:p>
        </w:tc>
      </w:tr>
      <w:tr>
        <w:trPr>
          <w:cantSplit/>
        </w:trPr>
        <w:tc>
          <w:tcPr>
            <w:tcW w:type="dxa" w:w="3061"/>
          </w:tcPr>
          <w:p>
            <w:pPr>
              <w:spacing w:after="0"/>
            </w:pPr>
            <w:r>
              <w:rPr>
                <w:b/>
                <w:i w:val="0"/>
                <w:color w:val="0F1115"/>
                <w:sz w:val="21"/>
              </w:rPr>
              <w:t>Charter version</w:t>
            </w:r>
          </w:p>
        </w:tc>
        <w:tc>
          <w:tcPr>
            <w:tcW w:type="dxa" w:w="6576"/>
          </w:tcPr>
          <w:p>
            <w:pPr>
              <w:spacing w:after="0"/>
            </w:pPr>
            <w:r>
              <w:rPr>
                <w:b w:val="0"/>
                <w:i w:val="0"/>
                <w:color w:val="0F1115"/>
                <w:sz w:val="21"/>
              </w:rPr>
              <w:t>v1</w:t>
            </w:r>
          </w:p>
        </w:tc>
      </w:tr>
      <w:tr>
        <w:trPr>
          <w:cantSplit/>
        </w:trPr>
        <w:tc>
          <w:tcPr>
            <w:tcW w:type="dxa" w:w="3061"/>
          </w:tcPr>
          <w:p>
            <w:pPr>
              <w:spacing w:after="0"/>
            </w:pPr>
            <w:r>
              <w:rPr>
                <w:b/>
                <w:i w:val="0"/>
                <w:color w:val="0F1115"/>
                <w:sz w:val="21"/>
              </w:rPr>
              <w:t>Charter status</w:t>
            </w:r>
          </w:p>
        </w:tc>
        <w:tc>
          <w:tcPr>
            <w:tcW w:type="dxa" w:w="6576"/>
          </w:tcPr>
          <w:p>
            <w:pPr>
              <w:spacing w:after="0"/>
            </w:pPr>
            <w:r>
              <w:rPr>
                <w:b w:val="0"/>
                <w:i w:val="0"/>
                <w:color w:val="0F1115"/>
                <w:sz w:val="21"/>
              </w:rPr>
              <w:t>Waiting to sign</w:t>
            </w:r>
          </w:p>
        </w:tc>
      </w:tr>
      <w:tr>
        <w:trPr>
          <w:cantSplit/>
        </w:trPr>
        <w:tc>
          <w:tcPr>
            <w:tcW w:type="dxa" w:w="3061"/>
          </w:tcPr>
          <w:p>
            <w:pPr>
              <w:spacing w:after="0"/>
            </w:pPr>
            <w:r>
              <w:rPr>
                <w:b/>
                <w:i w:val="0"/>
                <w:color w:val="0F1115"/>
                <w:sz w:val="21"/>
              </w:rPr>
              <w:t>Dated</w:t>
            </w:r>
          </w:p>
        </w:tc>
        <w:tc>
          <w:tcPr>
            <w:tcW w:type="dxa" w:w="6576"/>
          </w:tcPr>
          <w:p>
            <w:pPr>
              <w:spacing w:after="0"/>
            </w:pPr>
            <w:r>
              <w:rPr>
                <w:b w:val="0"/>
                <w:i w:val="0"/>
                <w:color w:val="0F1115"/>
                <w:sz w:val="21"/>
              </w:rPr>
              <w:t>22 Oct 2026</w:t>
            </w:r>
          </w:p>
        </w:tc>
      </w:tr>
    </w:tbl>
    <w:p>
      <w:pPr>
        <w:pStyle w:val="Heading1"/>
      </w:pPr>
      <w:r>
        <w:rPr>
          <w:b/>
          <w:i w:val="0"/>
          <w:color w:val="0F1115"/>
          <w:sz w:val="26"/>
        </w:rPr>
        <w:t>1. Why we're doing this</w:t>
      </w:r>
    </w:p>
    <w:p>
      <w:pPr>
        <w:keepNext w:val="0"/>
        <w:spacing w:after="80" w:before="0"/>
      </w:pPr>
      <w:r>
        <w:rPr>
          <w:b w:val="0"/>
          <w:i w:val="0"/>
          <w:color w:val="0F1115"/>
          <w:sz w:val="21"/>
        </w:rPr>
        <w:t>By 30 Jun 2027, Finance Operations can bill every Hollins customer from the new engine.</w:t>
      </w: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3061"/>
        <w:gridCol w:w="6576"/>
      </w:tblGrid>
      <w:tr>
        <w:trPr>
          <w:cantSplit/>
        </w:trPr>
        <w:tc>
          <w:tcPr>
            <w:tcW w:type="dxa" w:w="3061"/>
          </w:tcPr>
          <w:p>
            <w:pPr>
              <w:spacing w:after="0"/>
            </w:pPr>
            <w:r>
              <w:rPr>
                <w:b/>
                <w:i w:val="0"/>
                <w:color w:val="0F1115"/>
                <w:sz w:val="21"/>
              </w:rPr>
              <w:t>Benefit it serves</w:t>
            </w:r>
          </w:p>
        </w:tc>
        <w:tc>
          <w:tcPr>
            <w:tcW w:type="dxa" w:w="6576"/>
          </w:tcPr>
          <w:p>
            <w:pPr>
              <w:spacing w:after="0"/>
            </w:pPr>
            <w:r>
              <w:rPr>
                <w:b w:val="0"/>
                <w:i w:val="0"/>
                <w:color w:val="0F1115"/>
                <w:sz w:val="21"/>
              </w:rPr>
              <w:t>Invoices from the new engine; Cheaper billing</w:t>
            </w:r>
          </w:p>
        </w:tc>
      </w:tr>
      <w:tr>
        <w:trPr>
          <w:cantSplit/>
        </w:trPr>
        <w:tc>
          <w:tcPr>
            <w:tcW w:type="dxa" w:w="3061"/>
          </w:tcPr>
          <w:p>
            <w:pPr>
              <w:spacing w:after="0"/>
            </w:pPr>
            <w:r>
              <w:rPr>
                <w:b/>
                <w:i w:val="0"/>
                <w:color w:val="0F1115"/>
                <w:sz w:val="21"/>
              </w:rPr>
              <w:t>If we don't</w:t>
            </w:r>
          </w:p>
        </w:tc>
        <w:tc>
          <w:tcPr>
            <w:tcW w:type="dxa" w:w="6576"/>
          </w:tcPr>
          <w:p>
            <w:pPr>
              <w:spacing w:after="0"/>
            </w:pPr>
            <w:r>
              <w:rPr>
                <w:b w:val="0"/>
                <w:i w:val="0"/>
                <w:color w:val="0F1115"/>
                <w:sz w:val="21"/>
              </w:rPr>
              <w:t>The old engine's licence ends on 31 Dec 2027 with nothing to move billing onto.</w:t>
            </w:r>
          </w:p>
        </w:tc>
      </w:tr>
    </w:tbl>
    <w:p>
      <w:pPr>
        <w:pStyle w:val="Heading1"/>
      </w:pPr>
      <w:r>
        <w:rPr>
          <w:b/>
          <w:i w:val="0"/>
          <w:color w:val="0F1115"/>
          <w:sz w:val="26"/>
        </w:rPr>
        <w:t>2. What it delivers</w:t>
      </w:r>
    </w:p>
    <w:p>
      <w:pPr>
        <w:keepNext/>
        <w:spacing w:after="40" w:before="80"/>
      </w:pPr>
      <w:r>
        <w:rPr>
          <w:b/>
          <w:i w:val="0"/>
          <w:color w:val="0F1115"/>
          <w:sz w:val="21"/>
        </w:rPr>
        <w:t>Table A. Deliverables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794"/>
        <w:gridCol w:w="6009"/>
        <w:gridCol w:w="2835"/>
      </w:tblGrid>
      <w:tr>
        <w:trPr>
          <w:cantSplit/>
          <w:tblHeader/>
        </w:trPr>
        <w:tc>
          <w:tcPr>
            <w:tcW w:type="dxa" w:w="794"/>
            <w:shd w:val="clear" w:color="auto" w:fill="F4F5F6"/>
          </w:tcPr>
          <w:p>
            <w:pPr>
              <w:spacing w:after="0"/>
            </w:pPr>
            <w:r>
              <w:rPr>
                <w:b/>
                <w:i w:val="0"/>
                <w:color w:val="0F1115"/>
                <w:sz w:val="19"/>
              </w:rPr>
              <w:t>Id</w:t>
            </w:r>
          </w:p>
        </w:tc>
        <w:tc>
          <w:tcPr>
            <w:tcW w:type="dxa" w:w="6009"/>
            <w:shd w:val="clear" w:color="auto" w:fill="F4F5F6"/>
          </w:tcPr>
          <w:p>
            <w:pPr>
              <w:spacing w:after="0"/>
            </w:pPr>
            <w:r>
              <w:rPr>
                <w:b/>
                <w:i w:val="0"/>
                <w:color w:val="0F1115"/>
                <w:sz w:val="19"/>
              </w:rPr>
              <w:t>Deliverable</w:t>
            </w:r>
          </w:p>
        </w:tc>
        <w:tc>
          <w:tcPr>
            <w:tcW w:type="dxa" w:w="2835"/>
            <w:shd w:val="clear" w:color="auto" w:fill="F4F5F6"/>
          </w:tcPr>
          <w:p>
            <w:pPr>
              <w:spacing w:after="0"/>
            </w:pPr>
            <w:r>
              <w:rPr>
                <w:b/>
                <w:i w:val="0"/>
                <w:color w:val="0F1115"/>
                <w:sz w:val="19"/>
              </w:rPr>
              <w:t>Accepted by</w:t>
            </w:r>
          </w:p>
        </w:tc>
      </w:tr>
      <w:tr>
        <w:trPr>
          <w:cantSplit/>
        </w:trPr>
        <w:tc>
          <w:tcPr>
            <w:tcW w:type="dxa" w:w="794"/>
          </w:tcPr>
          <w:p>
            <w:pPr>
              <w:spacing w:after="0"/>
            </w:pPr>
            <w:r>
              <w:rPr>
                <w:b w:val="0"/>
                <w:i w:val="0"/>
                <w:color w:val="0F1115"/>
                <w:sz w:val="19"/>
              </w:rPr>
              <w:t>D1</w:t>
            </w:r>
          </w:p>
        </w:tc>
        <w:tc>
          <w:tcPr>
            <w:tcW w:type="dxa" w:w="6009"/>
          </w:tcPr>
          <w:p>
            <w:pPr>
              <w:spacing w:after="0"/>
            </w:pPr>
            <w:r>
              <w:rPr>
                <w:b w:val="0"/>
                <w:i w:val="0"/>
                <w:color w:val="0F1115"/>
                <w:sz w:val="19"/>
              </w:rPr>
              <w:t>Monthly invoice run on the new engine</w:t>
            </w:r>
          </w:p>
        </w:tc>
        <w:tc>
          <w:tcPr>
            <w:tcW w:type="dxa" w:w="2835"/>
          </w:tcPr>
          <w:p>
            <w:pPr>
              <w:spacing w:after="0"/>
            </w:pPr>
            <w:r>
              <w:rPr>
                <w:b w:val="0"/>
                <w:i w:val="0"/>
                <w:color w:val="0F1115"/>
                <w:sz w:val="19"/>
              </w:rPr>
              <w:t>Rhys (Finance Operations Lead)</w:t>
            </w:r>
          </w:p>
        </w:tc>
      </w:tr>
      <w:tr>
        <w:trPr>
          <w:cantSplit/>
        </w:trPr>
        <w:tc>
          <w:tcPr>
            <w:tcW w:type="dxa" w:w="794"/>
          </w:tcPr>
          <w:p>
            <w:pPr>
              <w:spacing w:after="0"/>
            </w:pPr>
            <w:r>
              <w:rPr>
                <w:b w:val="0"/>
                <w:i w:val="0"/>
                <w:color w:val="0F1115"/>
                <w:sz w:val="19"/>
              </w:rPr>
              <w:t>D2</w:t>
            </w:r>
          </w:p>
        </w:tc>
        <w:tc>
          <w:tcPr>
            <w:tcW w:type="dxa" w:w="6009"/>
          </w:tcPr>
          <w:p>
            <w:pPr>
              <w:spacing w:after="0"/>
            </w:pPr>
            <w:r>
              <w:rPr>
                <w:b w:val="0"/>
                <w:i w:val="0"/>
                <w:color w:val="0F1115"/>
                <w:sz w:val="19"/>
              </w:rPr>
              <w:t>Credit notes and refunds on the new engine</w:t>
            </w:r>
          </w:p>
        </w:tc>
        <w:tc>
          <w:tcPr>
            <w:tcW w:type="dxa" w:w="2835"/>
          </w:tcPr>
          <w:p>
            <w:pPr>
              <w:spacing w:after="0"/>
            </w:pPr>
            <w:r>
              <w:rPr>
                <w:b w:val="0"/>
                <w:i w:val="0"/>
                <w:color w:val="0F1115"/>
                <w:sz w:val="19"/>
              </w:rPr>
              <w:t>Rhys (Finance Operations Lead)</w:t>
            </w:r>
          </w:p>
        </w:tc>
      </w:tr>
      <w:tr>
        <w:trPr>
          <w:cantSplit/>
        </w:trPr>
        <w:tc>
          <w:tcPr>
            <w:tcW w:type="dxa" w:w="794"/>
          </w:tcPr>
          <w:p>
            <w:pPr>
              <w:spacing w:after="0"/>
            </w:pPr>
            <w:r>
              <w:rPr>
                <w:b w:val="0"/>
                <w:i w:val="0"/>
                <w:color w:val="0F1115"/>
                <w:sz w:val="19"/>
              </w:rPr>
              <w:t>D3</w:t>
            </w:r>
          </w:p>
        </w:tc>
        <w:tc>
          <w:tcPr>
            <w:tcW w:type="dxa" w:w="6009"/>
          </w:tcPr>
          <w:p>
            <w:pPr>
              <w:spacing w:after="0"/>
            </w:pPr>
            <w:r>
              <w:rPr>
                <w:b w:val="0"/>
                <w:i w:val="0"/>
                <w:color w:val="0F1115"/>
                <w:sz w:val="19"/>
              </w:rPr>
              <w:t>Customer billing history migrated into the new engine</w:t>
            </w:r>
          </w:p>
        </w:tc>
        <w:tc>
          <w:tcPr>
            <w:tcW w:type="dxa" w:w="2835"/>
          </w:tcPr>
          <w:p>
            <w:pPr>
              <w:spacing w:after="0"/>
            </w:pPr>
            <w:r>
              <w:rPr>
                <w:b w:val="0"/>
                <w:i w:val="0"/>
                <w:color w:val="0F1115"/>
                <w:sz w:val="19"/>
              </w:rPr>
              <w:t>Rhys (Finance Operations Lead)</w:t>
            </w:r>
          </w:p>
        </w:tc>
      </w:tr>
      <w:tr>
        <w:trPr>
          <w:cantSplit/>
        </w:trPr>
        <w:tc>
          <w:tcPr>
            <w:tcW w:type="dxa" w:w="794"/>
          </w:tcPr>
          <w:p>
            <w:pPr>
              <w:spacing w:after="0"/>
            </w:pPr>
            <w:r>
              <w:rPr>
                <w:b w:val="0"/>
                <w:i w:val="0"/>
                <w:color w:val="0F1115"/>
                <w:sz w:val="19"/>
              </w:rPr>
              <w:t>D4</w:t>
            </w:r>
          </w:p>
        </w:tc>
        <w:tc>
          <w:tcPr>
            <w:tcW w:type="dxa" w:w="6009"/>
          </w:tcPr>
          <w:p>
            <w:pPr>
              <w:spacing w:after="0"/>
            </w:pPr>
            <w:r>
              <w:rPr>
                <w:b w:val="0"/>
                <w:i w:val="0"/>
                <w:color w:val="0F1115"/>
                <w:sz w:val="19"/>
              </w:rPr>
              <w:t>Cutover of invoicing from the old engine, rehearsed twice, with rollback</w:t>
            </w:r>
          </w:p>
        </w:tc>
        <w:tc>
          <w:tcPr>
            <w:tcW w:type="dxa" w:w="2835"/>
          </w:tcPr>
          <w:p>
            <w:pPr>
              <w:spacing w:after="0"/>
            </w:pPr>
            <w:r>
              <w:rPr>
                <w:b w:val="0"/>
                <w:i w:val="0"/>
                <w:color w:val="0F1115"/>
                <w:sz w:val="19"/>
              </w:rPr>
              <w:t>Priya (CTO)</w:t>
            </w:r>
          </w:p>
        </w:tc>
      </w:tr>
      <w:tr>
        <w:trPr>
          <w:cantSplit/>
        </w:trPr>
        <w:tc>
          <w:tcPr>
            <w:tcW w:type="dxa" w:w="794"/>
          </w:tcPr>
          <w:p>
            <w:pPr>
              <w:spacing w:after="0"/>
            </w:pPr>
            <w:r>
              <w:rPr>
                <w:b w:val="0"/>
                <w:i w:val="0"/>
                <w:color w:val="0F1115"/>
                <w:sz w:val="19"/>
              </w:rPr>
              <w:t>D5</w:t>
            </w:r>
          </w:p>
        </w:tc>
        <w:tc>
          <w:tcPr>
            <w:tcW w:type="dxa" w:w="6009"/>
          </w:tcPr>
          <w:p>
            <w:pPr>
              <w:spacing w:after="0"/>
            </w:pPr>
            <w:r>
              <w:rPr>
                <w:b w:val="0"/>
                <w:i w:val="0"/>
                <w:color w:val="0F1115"/>
                <w:sz w:val="19"/>
              </w:rPr>
              <w:t>Handover to Finance Operations and Support, with runbook and training</w:t>
            </w:r>
          </w:p>
        </w:tc>
        <w:tc>
          <w:tcPr>
            <w:tcW w:type="dxa" w:w="2835"/>
          </w:tcPr>
          <w:p>
            <w:pPr>
              <w:spacing w:after="0"/>
            </w:pPr>
            <w:r>
              <w:rPr>
                <w:b w:val="0"/>
                <w:i w:val="0"/>
                <w:color w:val="0F1115"/>
                <w:sz w:val="19"/>
              </w:rPr>
              <w:t>Noor (Support Lead)</w:t>
            </w:r>
          </w:p>
        </w:tc>
      </w:tr>
    </w:tbl>
    <w:p>
      <w:pPr>
        <w:pStyle w:val="Heading1"/>
      </w:pPr>
      <w:r>
        <w:rPr>
          <w:b/>
          <w:i w:val="0"/>
          <w:color w:val="0F1115"/>
          <w:sz w:val="26"/>
        </w:rPr>
        <w:t>3. Where it stops</w:t>
      </w:r>
    </w:p>
    <w:p>
      <w:pPr>
        <w:keepNext/>
        <w:spacing w:after="40" w:before="80"/>
      </w:pPr>
      <w:r>
        <w:rPr>
          <w:b/>
          <w:i w:val="0"/>
          <w:color w:val="0F1115"/>
          <w:sz w:val="21"/>
        </w:rPr>
        <w:t>Table B. Not doing</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5953"/>
        <w:gridCol w:w="3685"/>
      </w:tblGrid>
      <w:tr>
        <w:trPr>
          <w:cantSplit/>
          <w:tblHeader/>
        </w:trPr>
        <w:tc>
          <w:tcPr>
            <w:tcW w:type="dxa" w:w="5953"/>
            <w:shd w:val="clear" w:color="auto" w:fill="F4F5F6"/>
          </w:tcPr>
          <w:p>
            <w:pPr>
              <w:spacing w:after="0"/>
            </w:pPr>
            <w:r>
              <w:rPr>
                <w:b/>
                <w:i w:val="0"/>
                <w:color w:val="0F1115"/>
                <w:sz w:val="19"/>
              </w:rPr>
              <w:t>Not doing</w:t>
            </w:r>
          </w:p>
        </w:tc>
        <w:tc>
          <w:tcPr>
            <w:tcW w:type="dxa" w:w="3685"/>
            <w:shd w:val="clear" w:color="auto" w:fill="F4F5F6"/>
          </w:tcPr>
          <w:p>
            <w:pPr>
              <w:spacing w:after="0"/>
            </w:pPr>
            <w:r>
              <w:rPr>
                <w:b/>
                <w:i w:val="0"/>
                <w:color w:val="0F1115"/>
                <w:sz w:val="19"/>
              </w:rPr>
              <w:t>Who has it instead</w:t>
            </w:r>
          </w:p>
        </w:tc>
      </w:tr>
      <w:tr>
        <w:trPr>
          <w:cantSplit/>
        </w:trPr>
        <w:tc>
          <w:tcPr>
            <w:tcW w:type="dxa" w:w="5953"/>
          </w:tcPr>
          <w:p>
            <w:pPr>
              <w:spacing w:after="0"/>
            </w:pPr>
            <w:r>
              <w:rPr>
                <w:b w:val="0"/>
                <w:i w:val="0"/>
                <w:color w:val="0F1115"/>
                <w:sz w:val="19"/>
              </w:rPr>
              <w:t>Tax rules for customers outside the US</w:t>
            </w:r>
          </w:p>
        </w:tc>
        <w:tc>
          <w:tcPr>
            <w:tcW w:type="dxa" w:w="3685"/>
          </w:tcPr>
          <w:p>
            <w:pPr>
              <w:spacing w:after="0"/>
            </w:pPr>
            <w:r>
              <w:rPr>
                <w:b w:val="0"/>
                <w:i w:val="0"/>
                <w:color w:val="0F1115"/>
                <w:sz w:val="19"/>
              </w:rPr>
              <w:t>Invoice Tax Rules</w:t>
            </w:r>
          </w:p>
        </w:tc>
      </w:tr>
      <w:tr>
        <w:trPr>
          <w:cantSplit/>
        </w:trPr>
        <w:tc>
          <w:tcPr>
            <w:tcW w:type="dxa" w:w="5953"/>
          </w:tcPr>
          <w:p>
            <w:pPr>
              <w:spacing w:after="0"/>
            </w:pPr>
            <w:r>
              <w:rPr>
                <w:b w:val="0"/>
                <w:i w:val="0"/>
                <w:color w:val="0F1115"/>
                <w:sz w:val="19"/>
              </w:rPr>
              <w:t>Invoice screens for partners</w:t>
            </w:r>
          </w:p>
        </w:tc>
        <w:tc>
          <w:tcPr>
            <w:tcW w:type="dxa" w:w="3685"/>
          </w:tcPr>
          <w:p>
            <w:pPr>
              <w:spacing w:after="0"/>
            </w:pPr>
            <w:r>
              <w:rPr>
                <w:b w:val="0"/>
                <w:i w:val="0"/>
                <w:color w:val="0F1115"/>
                <w:sz w:val="19"/>
              </w:rPr>
              <w:t>Partner Portal Launch</w:t>
            </w:r>
          </w:p>
        </w:tc>
      </w:tr>
      <w:tr>
        <w:trPr>
          <w:cantSplit/>
        </w:trPr>
        <w:tc>
          <w:tcPr>
            <w:tcW w:type="dxa" w:w="5953"/>
          </w:tcPr>
          <w:p>
            <w:pPr>
              <w:spacing w:after="0"/>
            </w:pPr>
            <w:r>
              <w:rPr>
                <w:b w:val="0"/>
                <w:i w:val="0"/>
                <w:color w:val="0F1115"/>
                <w:sz w:val="19"/>
              </w:rPr>
              <w:t>Migrate customer data</w:t>
            </w:r>
          </w:p>
        </w:tc>
        <w:tc>
          <w:tcPr>
            <w:tcW w:type="dxa" w:w="3685"/>
          </w:tcPr>
          <w:p>
            <w:pPr>
              <w:spacing w:after="0"/>
            </w:pPr>
            <w:r>
              <w:rPr>
                <w:b w:val="0"/>
                <w:i w:val="0"/>
                <w:color w:val="0F1115"/>
                <w:sz w:val="19"/>
              </w:rPr>
              <w:t>Data Migration Wave 2</w:t>
            </w:r>
          </w:p>
        </w:tc>
      </w:tr>
      <w:tr>
        <w:trPr>
          <w:cantSplit/>
        </w:trPr>
        <w:tc>
          <w:tcPr>
            <w:tcW w:type="dxa" w:w="5953"/>
          </w:tcPr>
          <w:p>
            <w:pPr>
              <w:spacing w:after="0"/>
            </w:pPr>
            <w:r>
              <w:rPr>
                <w:b w:val="0"/>
                <w:i w:val="0"/>
                <w:color w:val="0F1115"/>
                <w:sz w:val="19"/>
              </w:rPr>
              <w:t>Switching off the old engine's licence</w:t>
            </w:r>
          </w:p>
        </w:tc>
        <w:tc>
          <w:tcPr>
            <w:tcW w:type="dxa" w:w="3685"/>
          </w:tcPr>
          <w:p>
            <w:pPr>
              <w:spacing w:after="0"/>
            </w:pPr>
            <w:r>
              <w:rPr>
                <w:b w:val="0"/>
                <w:i w:val="0"/>
                <w:color w:val="0F1115"/>
                <w:sz w:val="19"/>
              </w:rPr>
              <w:t>Finance Operations</w:t>
            </w:r>
          </w:p>
        </w:tc>
      </w:tr>
    </w:tbl>
    <w:p>
      <w:pPr>
        <w:pStyle w:val="Heading1"/>
      </w:pPr>
      <w:r>
        <w:rPr>
          <w:b/>
          <w:i w:val="0"/>
          <w:color w:val="0F1115"/>
          <w:sz w:val="26"/>
        </w:rPr>
        <w:t>4. What it can spend</w:t>
      </w:r>
    </w:p>
    <w:p>
      <w:pPr>
        <w:keepNext/>
        <w:spacing w:after="40" w:before="80"/>
      </w:pPr>
      <w:r>
        <w:rPr>
          <w:b/>
          <w:i w:val="0"/>
          <w:color w:val="0F1115"/>
          <w:sz w:val="21"/>
        </w:rPr>
        <w:t>Table C. Cost lines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5669"/>
        <w:gridCol w:w="1984"/>
        <w:gridCol w:w="1984"/>
      </w:tblGrid>
      <w:tr>
        <w:trPr>
          <w:cantSplit/>
          <w:tblHeader/>
        </w:trPr>
        <w:tc>
          <w:tcPr>
            <w:tcW w:type="dxa" w:w="5669"/>
            <w:shd w:val="clear" w:color="auto" w:fill="F4F5F6"/>
          </w:tcPr>
          <w:p>
            <w:pPr>
              <w:spacing w:after="0"/>
            </w:pPr>
            <w:r>
              <w:rPr>
                <w:b/>
                <w:i w:val="0"/>
                <w:color w:val="0F1115"/>
                <w:sz w:val="19"/>
              </w:rPr>
              <w:t>Line</w:t>
            </w:r>
          </w:p>
        </w:tc>
        <w:tc>
          <w:tcPr>
            <w:tcW w:type="dxa" w:w="1984"/>
            <w:shd w:val="clear" w:color="auto" w:fill="F4F5F6"/>
          </w:tcPr>
          <w:p>
            <w:pPr>
              <w:spacing w:after="0"/>
            </w:pPr>
            <w:r>
              <w:rPr>
                <w:b/>
                <w:i w:val="0"/>
                <w:color w:val="0F1115"/>
                <w:sz w:val="19"/>
              </w:rPr>
              <w:t>Pays for</w:t>
            </w:r>
          </w:p>
        </w:tc>
        <w:tc>
          <w:tcPr>
            <w:tcW w:type="dxa" w:w="1984"/>
            <w:shd w:val="clear" w:color="auto" w:fill="F4F5F6"/>
          </w:tcPr>
          <w:p>
            <w:pPr>
              <w:spacing w:after="0"/>
            </w:pPr>
            <w:r>
              <w:rPr>
                <w:b/>
                <w:i w:val="0"/>
                <w:color w:val="0F1115"/>
                <w:sz w:val="19"/>
              </w:rPr>
              <w:t>Amount</w:t>
            </w:r>
          </w:p>
        </w:tc>
      </w:tr>
      <w:tr>
        <w:trPr>
          <w:cantSplit/>
        </w:trPr>
        <w:tc>
          <w:tcPr>
            <w:tcW w:type="dxa" w:w="5669"/>
          </w:tcPr>
          <w:p>
            <w:pPr>
              <w:spacing w:after="0"/>
            </w:pPr>
            <w:r>
              <w:rPr>
                <w:b w:val="0"/>
                <w:i w:val="0"/>
                <w:color w:val="0F1115"/>
                <w:sz w:val="19"/>
              </w:rPr>
              <w:t>Build and test the engine</w:t>
            </w:r>
          </w:p>
        </w:tc>
        <w:tc>
          <w:tcPr>
            <w:tcW w:type="dxa" w:w="1984"/>
          </w:tcPr>
          <w:p>
            <w:pPr>
              <w:spacing w:after="0"/>
            </w:pPr>
            <w:r>
              <w:rPr>
                <w:b w:val="0"/>
                <w:i w:val="0"/>
                <w:color w:val="0F1115"/>
                <w:sz w:val="19"/>
              </w:rPr>
              <w:t>D1, D2</w:t>
            </w:r>
          </w:p>
        </w:tc>
        <w:tc>
          <w:tcPr>
            <w:tcW w:type="dxa" w:w="1984"/>
          </w:tcPr>
          <w:p>
            <w:pPr>
              <w:spacing w:after="0"/>
              <w:jc w:val="right"/>
            </w:pPr>
            <w:r>
              <w:rPr>
                <w:b w:val="0"/>
                <w:i w:val="0"/>
                <w:color w:val="0F1115"/>
                <w:sz w:val="19"/>
              </w:rPr>
              <w:t>410,000</w:t>
            </w:r>
          </w:p>
        </w:tc>
      </w:tr>
      <w:tr>
        <w:trPr>
          <w:cantSplit/>
        </w:trPr>
        <w:tc>
          <w:tcPr>
            <w:tcW w:type="dxa" w:w="5669"/>
          </w:tcPr>
          <w:p>
            <w:pPr>
              <w:spacing w:after="0"/>
            </w:pPr>
            <w:r>
              <w:rPr>
                <w:b w:val="0"/>
                <w:i w:val="0"/>
                <w:color w:val="0F1115"/>
                <w:sz w:val="19"/>
              </w:rPr>
              <w:t>Billing history load</w:t>
            </w:r>
          </w:p>
        </w:tc>
        <w:tc>
          <w:tcPr>
            <w:tcW w:type="dxa" w:w="1984"/>
          </w:tcPr>
          <w:p>
            <w:pPr>
              <w:spacing w:after="0"/>
            </w:pPr>
            <w:r>
              <w:rPr>
                <w:b w:val="0"/>
                <w:i w:val="0"/>
                <w:color w:val="0F1115"/>
                <w:sz w:val="19"/>
              </w:rPr>
              <w:t>D3</w:t>
            </w:r>
          </w:p>
        </w:tc>
        <w:tc>
          <w:tcPr>
            <w:tcW w:type="dxa" w:w="1984"/>
          </w:tcPr>
          <w:p>
            <w:pPr>
              <w:spacing w:after="0"/>
              <w:jc w:val="right"/>
            </w:pPr>
            <w:r>
              <w:rPr>
                <w:b w:val="0"/>
                <w:i w:val="0"/>
                <w:color w:val="0F1115"/>
                <w:sz w:val="19"/>
              </w:rPr>
              <w:t>70,000</w:t>
            </w:r>
          </w:p>
        </w:tc>
      </w:tr>
      <w:tr>
        <w:trPr>
          <w:cantSplit/>
        </w:trPr>
        <w:tc>
          <w:tcPr>
            <w:tcW w:type="dxa" w:w="5669"/>
          </w:tcPr>
          <w:p>
            <w:pPr>
              <w:spacing w:after="0"/>
            </w:pPr>
            <w:r>
              <w:rPr>
                <w:b w:val="0"/>
                <w:i w:val="0"/>
                <w:color w:val="0F1115"/>
                <w:sz w:val="19"/>
              </w:rPr>
              <w:t>Cutover plan, rehearsals and the weekend</w:t>
            </w:r>
          </w:p>
        </w:tc>
        <w:tc>
          <w:tcPr>
            <w:tcW w:type="dxa" w:w="1984"/>
          </w:tcPr>
          <w:p>
            <w:pPr>
              <w:spacing w:after="0"/>
            </w:pPr>
            <w:r>
              <w:rPr>
                <w:b w:val="0"/>
                <w:i w:val="0"/>
                <w:color w:val="0F1115"/>
                <w:sz w:val="19"/>
              </w:rPr>
              <w:t>D4</w:t>
            </w:r>
          </w:p>
        </w:tc>
        <w:tc>
          <w:tcPr>
            <w:tcW w:type="dxa" w:w="1984"/>
          </w:tcPr>
          <w:p>
            <w:pPr>
              <w:spacing w:after="0"/>
              <w:jc w:val="right"/>
            </w:pPr>
            <w:r>
              <w:rPr>
                <w:b w:val="0"/>
                <w:i w:val="0"/>
                <w:color w:val="0F1115"/>
                <w:sz w:val="19"/>
              </w:rPr>
              <w:t>150,000</w:t>
            </w:r>
          </w:p>
        </w:tc>
      </w:tr>
      <w:tr>
        <w:trPr>
          <w:cantSplit/>
        </w:trPr>
        <w:tc>
          <w:tcPr>
            <w:tcW w:type="dxa" w:w="5669"/>
          </w:tcPr>
          <w:p>
            <w:pPr>
              <w:spacing w:after="0"/>
            </w:pPr>
            <w:r>
              <w:rPr>
                <w:b w:val="0"/>
                <w:i w:val="0"/>
                <w:color w:val="0F1115"/>
                <w:sz w:val="19"/>
              </w:rPr>
              <w:t>Runbook and training</w:t>
            </w:r>
          </w:p>
        </w:tc>
        <w:tc>
          <w:tcPr>
            <w:tcW w:type="dxa" w:w="1984"/>
          </w:tcPr>
          <w:p>
            <w:pPr>
              <w:spacing w:after="0"/>
            </w:pPr>
            <w:r>
              <w:rPr>
                <w:b w:val="0"/>
                <w:i w:val="0"/>
                <w:color w:val="0F1115"/>
                <w:sz w:val="19"/>
              </w:rPr>
              <w:t>D5</w:t>
            </w:r>
          </w:p>
        </w:tc>
        <w:tc>
          <w:tcPr>
            <w:tcW w:type="dxa" w:w="1984"/>
          </w:tcPr>
          <w:p>
            <w:pPr>
              <w:spacing w:after="0"/>
              <w:jc w:val="right"/>
            </w:pPr>
            <w:r>
              <w:rPr>
                <w:b w:val="0"/>
                <w:i w:val="0"/>
                <w:color w:val="0F1115"/>
                <w:sz w:val="19"/>
              </w:rPr>
              <w:t>40,000</w:t>
            </w:r>
          </w:p>
        </w:tc>
      </w:tr>
      <w:tr>
        <w:trPr>
          <w:cantSplit/>
        </w:trPr>
        <w:tc>
          <w:tcPr>
            <w:tcW w:type="dxa" w:w="5669"/>
          </w:tcPr>
          <w:p>
            <w:pPr>
              <w:spacing w:after="0"/>
            </w:pPr>
            <w:r>
              <w:rPr>
                <w:b w:val="0"/>
                <w:i w:val="0"/>
                <w:color w:val="0F1115"/>
                <w:sz w:val="19"/>
              </w:rPr>
              <w:t>Security and performance testing</w:t>
            </w:r>
          </w:p>
        </w:tc>
        <w:tc>
          <w:tcPr>
            <w:tcW w:type="dxa" w:w="1984"/>
          </w:tcPr>
          <w:p>
            <w:pPr>
              <w:spacing w:after="0"/>
            </w:pPr>
            <w:r>
              <w:rPr>
                <w:b w:val="0"/>
                <w:i w:val="0"/>
                <w:color w:val="0F1115"/>
                <w:sz w:val="19"/>
              </w:rPr>
              <w:t>D1</w:t>
            </w:r>
          </w:p>
        </w:tc>
        <w:tc>
          <w:tcPr>
            <w:tcW w:type="dxa" w:w="1984"/>
          </w:tcPr>
          <w:p>
            <w:pPr>
              <w:spacing w:after="0"/>
              <w:jc w:val="right"/>
            </w:pPr>
            <w:r>
              <w:rPr>
                <w:b w:val="0"/>
                <w:i w:val="0"/>
                <w:color w:val="0F1115"/>
                <w:sz w:val="19"/>
              </w:rPr>
              <w:t>110,000</w:t>
            </w:r>
          </w:p>
        </w:tc>
      </w:tr>
      <w:tr>
        <w:trPr>
          <w:cantSplit/>
        </w:trPr>
        <w:tc>
          <w:tcPr>
            <w:tcW w:type="dxa" w:w="5669"/>
          </w:tcPr>
          <w:p>
            <w:pPr>
              <w:spacing w:after="0"/>
            </w:pPr>
            <w:r>
              <w:rPr>
                <w:b/>
                <w:i w:val="0"/>
                <w:color w:val="0F1115"/>
                <w:sz w:val="19"/>
              </w:rPr>
              <w:t>Total (typed)</w:t>
            </w:r>
          </w:p>
        </w:tc>
        <w:tc>
          <w:tcPr>
            <w:tcW w:type="dxa" w:w="1984"/>
          </w:tcPr>
          <w:p/>
        </w:tc>
        <w:tc>
          <w:tcPr>
            <w:tcW w:type="dxa" w:w="1984"/>
          </w:tcPr>
          <w:p>
            <w:pPr>
              <w:spacing w:after="0"/>
              <w:jc w:val="right"/>
            </w:pPr>
            <w:r>
              <w:rPr>
                <w:b w:val="0"/>
                <w:i w:val="0"/>
                <w:color w:val="0F1115"/>
                <w:sz w:val="19"/>
              </w:rPr>
              <w:t>780,000</w:t>
            </w:r>
          </w:p>
        </w:tc>
      </w:tr>
      <w:tr>
        <w:trPr>
          <w:cantSplit/>
        </w:trPr>
        <w:tc>
          <w:tcPr>
            <w:tcW w:type="dxa" w:w="5669"/>
          </w:tcPr>
          <w:p>
            <w:pPr>
              <w:spacing w:after="0"/>
            </w:pPr>
            <w:r>
              <w:rPr>
                <w:b/>
                <w:i w:val="0"/>
                <w:color w:val="0F1115"/>
                <w:sz w:val="19"/>
              </w:rPr>
              <w:t>Share of the envelope</w:t>
            </w:r>
          </w:p>
        </w:tc>
        <w:tc>
          <w:tcPr>
            <w:tcW w:type="dxa" w:w="1984"/>
          </w:tcPr>
          <w:p/>
        </w:tc>
        <w:tc>
          <w:tcPr>
            <w:tcW w:type="dxa" w:w="1984"/>
          </w:tcPr>
          <w:p>
            <w:pPr>
              <w:spacing w:after="0"/>
              <w:jc w:val="right"/>
            </w:pPr>
            <w:r>
              <w:rPr>
                <w:b w:val="0"/>
                <w:i w:val="0"/>
                <w:color w:val="0F1115"/>
                <w:sz w:val="19"/>
              </w:rPr>
              <w:t>780,000</w:t>
            </w:r>
          </w:p>
        </w:tc>
      </w:tr>
    </w:tbl>
    <w:p>
      <w:pPr>
        <w:keepNext/>
        <w:spacing w:after="40" w:before="80"/>
      </w:pPr>
      <w:r>
        <w:rPr>
          <w:b/>
          <w:i w:val="0"/>
          <w:color w:val="0F1115"/>
          <w:sz w:val="21"/>
        </w:rPr>
        <w:t>Table D. Not in this number</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969"/>
        <w:gridCol w:w="1587"/>
        <w:gridCol w:w="1814"/>
        <w:gridCol w:w="2268"/>
      </w:tblGrid>
      <w:tr>
        <w:trPr>
          <w:cantSplit/>
          <w:tblHeader/>
        </w:trPr>
        <w:tc>
          <w:tcPr>
            <w:tcW w:type="dxa" w:w="3969"/>
            <w:shd w:val="clear" w:color="auto" w:fill="F4F5F6"/>
          </w:tcPr>
          <w:p>
            <w:pPr>
              <w:spacing w:after="0"/>
            </w:pPr>
            <w:r>
              <w:rPr>
                <w:b/>
                <w:i w:val="0"/>
                <w:color w:val="0F1115"/>
                <w:sz w:val="19"/>
              </w:rPr>
              <w:t>Cost</w:t>
            </w:r>
          </w:p>
        </w:tc>
        <w:tc>
          <w:tcPr>
            <w:tcW w:type="dxa" w:w="1587"/>
            <w:shd w:val="clear" w:color="auto" w:fill="F4F5F6"/>
          </w:tcPr>
          <w:p>
            <w:pPr>
              <w:spacing w:after="0"/>
            </w:pPr>
            <w:r>
              <w:rPr>
                <w:b/>
                <w:i w:val="0"/>
                <w:color w:val="0F1115"/>
                <w:sz w:val="19"/>
              </w:rPr>
              <w:t>Amount</w:t>
            </w:r>
          </w:p>
        </w:tc>
        <w:tc>
          <w:tcPr>
            <w:tcW w:type="dxa" w:w="1814"/>
            <w:shd w:val="clear" w:color="auto" w:fill="F4F5F6"/>
          </w:tcPr>
          <w:p>
            <w:pPr>
              <w:spacing w:after="0"/>
            </w:pPr>
            <w:r>
              <w:rPr>
                <w:b/>
                <w:i w:val="0"/>
                <w:color w:val="0F1115"/>
                <w:sz w:val="19"/>
              </w:rPr>
              <w:t>Per year or once</w:t>
            </w:r>
          </w:p>
        </w:tc>
        <w:tc>
          <w:tcPr>
            <w:tcW w:type="dxa" w:w="2268"/>
            <w:shd w:val="clear" w:color="auto" w:fill="F4F5F6"/>
          </w:tcPr>
          <w:p>
            <w:pPr>
              <w:spacing w:after="0"/>
            </w:pPr>
            <w:r>
              <w:rPr>
                <w:b/>
                <w:i w:val="0"/>
                <w:color w:val="0F1115"/>
                <w:sz w:val="19"/>
              </w:rPr>
              <w:t>Who pays</w:t>
            </w:r>
          </w:p>
        </w:tc>
      </w:tr>
      <w:tr>
        <w:trPr>
          <w:cantSplit/>
        </w:trPr>
        <w:tc>
          <w:tcPr>
            <w:tcW w:type="dxa" w:w="3969"/>
          </w:tcPr>
          <w:p/>
        </w:tc>
        <w:tc>
          <w:tcPr>
            <w:tcW w:type="dxa" w:w="1587"/>
          </w:tcPr>
          <w:p/>
        </w:tc>
        <w:tc>
          <w:tcPr>
            <w:tcW w:type="dxa" w:w="1814"/>
          </w:tcPr>
          <w:p/>
        </w:tc>
        <w:tc>
          <w:tcPr>
            <w:tcW w:type="dxa" w:w="2268"/>
          </w:tcPr>
          <w:p/>
        </w:tc>
      </w:tr>
    </w:tbl>
    <w:p>
      <w:pPr>
        <w:keepNext w:val="0"/>
        <w:spacing w:after="80" w:before="80"/>
      </w:pPr>
      <w:r>
        <w:rPr>
          <w:b/>
          <w:i w:val="0"/>
          <w:color w:val="0F1115"/>
          <w:sz w:val="21"/>
        </w:rPr>
        <w:t xml:space="preserve">Tolerances. </w:t>
      </w:r>
      <w:r>
        <w:rPr>
          <w:b w:val="0"/>
          <w:i w:val="0"/>
          <w:color w:val="0F1115"/>
          <w:sz w:val="21"/>
        </w:rPr>
        <w:t>Your organisation sets these. Cost: 10 percent over the share. Dates: 5 working days late. Past either one, the owner reports it to the program manager as an exception. What the owner can decide alone, inside them, is in Section 6.</w:t>
      </w:r>
    </w:p>
    <w:p>
      <w:pPr>
        <w:pStyle w:val="Heading1"/>
      </w:pPr>
      <w:r>
        <w:rPr>
          <w:b/>
          <w:i w:val="0"/>
          <w:color w:val="0F1115"/>
          <w:sz w:val="26"/>
        </w:rPr>
        <w:t>5. When</w:t>
      </w:r>
    </w:p>
    <w:p>
      <w:pPr>
        <w:keepNext/>
        <w:spacing w:after="40" w:before="80"/>
      </w:pPr>
      <w:r>
        <w:rPr>
          <w:b/>
          <w:i w:val="0"/>
          <w:color w:val="0F1115"/>
          <w:sz w:val="21"/>
        </w:rPr>
        <w:t>Table E. Milestones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835"/>
        <w:gridCol w:w="2835"/>
        <w:gridCol w:w="3969"/>
      </w:tblGrid>
      <w:tr>
        <w:trPr>
          <w:cantSplit/>
          <w:tblHeader/>
        </w:trPr>
        <w:tc>
          <w:tcPr>
            <w:tcW w:type="dxa" w:w="2835"/>
            <w:shd w:val="clear" w:color="auto" w:fill="F4F5F6"/>
          </w:tcPr>
          <w:p>
            <w:pPr>
              <w:spacing w:after="0"/>
            </w:pPr>
            <w:r>
              <w:rPr>
                <w:b/>
                <w:i w:val="0"/>
                <w:color w:val="0F1115"/>
                <w:sz w:val="19"/>
              </w:rPr>
              <w:t>Milestone</w:t>
            </w:r>
          </w:p>
        </w:tc>
        <w:tc>
          <w:tcPr>
            <w:tcW w:type="dxa" w:w="2835"/>
            <w:shd w:val="clear" w:color="auto" w:fill="F4F5F6"/>
          </w:tcPr>
          <w:p>
            <w:pPr>
              <w:spacing w:after="0"/>
            </w:pPr>
            <w:r>
              <w:rPr>
                <w:b/>
                <w:i w:val="0"/>
                <w:color w:val="0F1115"/>
                <w:sz w:val="19"/>
              </w:rPr>
              <w:t>Date (as at this version)</w:t>
            </w:r>
          </w:p>
        </w:tc>
        <w:tc>
          <w:tcPr>
            <w:tcW w:type="dxa" w:w="3969"/>
            <w:shd w:val="clear" w:color="auto" w:fill="F4F5F6"/>
          </w:tcPr>
          <w:p>
            <w:pPr>
              <w:spacing w:after="0"/>
            </w:pPr>
            <w:r>
              <w:rPr>
                <w:b/>
                <w:i w:val="0"/>
                <w:color w:val="0F1115"/>
                <w:sz w:val="19"/>
              </w:rPr>
              <w:t>Decides</w:t>
            </w:r>
          </w:p>
        </w:tc>
      </w:tr>
      <w:tr>
        <w:trPr>
          <w:cantSplit/>
        </w:trPr>
        <w:tc>
          <w:tcPr>
            <w:tcW w:type="dxa" w:w="2835"/>
          </w:tcPr>
          <w:p>
            <w:pPr>
              <w:spacing w:after="0"/>
            </w:pPr>
            <w:r>
              <w:rPr>
                <w:b w:val="0"/>
                <w:i w:val="0"/>
                <w:color w:val="0F1115"/>
                <w:sz w:val="19"/>
              </w:rPr>
              <w:t>Start</w:t>
            </w:r>
          </w:p>
        </w:tc>
        <w:tc>
          <w:tcPr>
            <w:tcW w:type="dxa" w:w="2835"/>
          </w:tcPr>
          <w:p>
            <w:pPr>
              <w:spacing w:after="0"/>
            </w:pPr>
            <w:r>
              <w:rPr>
                <w:b w:val="0"/>
                <w:i w:val="0"/>
                <w:color w:val="0F1115"/>
                <w:sz w:val="19"/>
              </w:rPr>
              <w:t>12 Mar 2026</w:t>
            </w:r>
          </w:p>
        </w:tc>
        <w:tc>
          <w:tcPr>
            <w:tcW w:type="dxa" w:w="3969"/>
          </w:tcPr>
          <w:p>
            <w:pPr>
              <w:spacing w:after="0"/>
            </w:pPr>
            <w:r>
              <w:rPr>
                <w:b w:val="0"/>
                <w:i w:val="0"/>
                <w:color w:val="0F1115"/>
                <w:sz w:val="19"/>
              </w:rPr>
              <w:t>Priya (CTO)</w:t>
            </w:r>
          </w:p>
        </w:tc>
      </w:tr>
      <w:tr>
        <w:trPr>
          <w:cantSplit/>
        </w:trPr>
        <w:tc>
          <w:tcPr>
            <w:tcW w:type="dxa" w:w="2835"/>
          </w:tcPr>
          <w:p>
            <w:pPr>
              <w:spacing w:after="0"/>
            </w:pPr>
            <w:r>
              <w:rPr>
                <w:b w:val="0"/>
                <w:i w:val="0"/>
                <w:color w:val="0F1115"/>
                <w:sz w:val="19"/>
              </w:rPr>
              <w:t>Go/no-go</w:t>
            </w:r>
          </w:p>
        </w:tc>
        <w:tc>
          <w:tcPr>
            <w:tcW w:type="dxa" w:w="2835"/>
          </w:tcPr>
          <w:p>
            <w:pPr>
              <w:spacing w:after="0"/>
            </w:pPr>
            <w:r>
              <w:rPr>
                <w:b w:val="0"/>
                <w:i w:val="0"/>
                <w:color w:val="0F1115"/>
                <w:sz w:val="19"/>
              </w:rPr>
              <w:t>3 Dec 2026</w:t>
            </w:r>
          </w:p>
        </w:tc>
        <w:tc>
          <w:tcPr>
            <w:tcW w:type="dxa" w:w="3969"/>
          </w:tcPr>
          <w:p>
            <w:pPr>
              <w:spacing w:after="0"/>
            </w:pPr>
            <w:r>
              <w:rPr>
                <w:b w:val="0"/>
                <w:i w:val="0"/>
                <w:color w:val="0F1115"/>
                <w:sz w:val="19"/>
              </w:rPr>
              <w:t>Priya (CTO)</w:t>
            </w:r>
          </w:p>
        </w:tc>
      </w:tr>
      <w:tr>
        <w:trPr>
          <w:cantSplit/>
        </w:trPr>
        <w:tc>
          <w:tcPr>
            <w:tcW w:type="dxa" w:w="2835"/>
          </w:tcPr>
          <w:p>
            <w:pPr>
              <w:spacing w:after="0"/>
            </w:pPr>
            <w:r>
              <w:rPr>
                <w:b w:val="0"/>
                <w:i w:val="0"/>
                <w:color w:val="0F1115"/>
                <w:sz w:val="19"/>
              </w:rPr>
              <w:t>Close</w:t>
            </w:r>
          </w:p>
        </w:tc>
        <w:tc>
          <w:tcPr>
            <w:tcW w:type="dxa" w:w="2835"/>
          </w:tcPr>
          <w:p>
            <w:pPr>
              <w:spacing w:after="0"/>
            </w:pPr>
            <w:r>
              <w:rPr>
                <w:b w:val="0"/>
                <w:i w:val="0"/>
                <w:color w:val="0F1115"/>
                <w:sz w:val="19"/>
              </w:rPr>
              <w:t>30 Jun 2027</w:t>
            </w:r>
          </w:p>
        </w:tc>
        <w:tc>
          <w:tcPr>
            <w:tcW w:type="dxa" w:w="3969"/>
          </w:tcPr>
          <w:p>
            <w:pPr>
              <w:spacing w:after="0"/>
            </w:pPr>
            <w:r>
              <w:rPr>
                <w:b w:val="0"/>
                <w:i w:val="0"/>
                <w:color w:val="0F1115"/>
                <w:sz w:val="19"/>
              </w:rPr>
              <w:t>Priya (CTO)</w:t>
            </w:r>
          </w:p>
        </w:tc>
      </w:tr>
    </w:tbl>
    <w:p>
      <w:pPr>
        <w:keepNext w:val="0"/>
        <w:spacing w:after="80" w:before="80"/>
      </w:pPr>
      <w:r>
        <w:rPr>
          <w:b w:val="0"/>
          <w:i w:val="0"/>
          <w:color w:val="0F1115"/>
          <w:sz w:val="21"/>
        </w:rPr>
        <w:t>Plan baselined, Build complete, Readiness and Handover accepted are on the gate map, which keeps the live date of every gate.</w:t>
      </w:r>
    </w:p>
    <w:p>
      <w:pPr>
        <w:pStyle w:val="Heading1"/>
      </w:pPr>
      <w:r>
        <w:rPr>
          <w:b/>
          <w:i w:val="0"/>
          <w:color w:val="0F1115"/>
          <w:sz w:val="26"/>
        </w:rPr>
        <w:t>6. Who</w:t>
      </w:r>
    </w:p>
    <w:p>
      <w:pPr>
        <w:keepNext/>
        <w:spacing w:after="40" w:before="80"/>
      </w:pPr>
      <w:r>
        <w:rPr>
          <w:b/>
          <w:i w:val="0"/>
          <w:color w:val="0F1115"/>
          <w:sz w:val="21"/>
        </w:rPr>
        <w:t>Table F. The team</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381"/>
        <w:gridCol w:w="2268"/>
        <w:gridCol w:w="907"/>
        <w:gridCol w:w="1304"/>
        <w:gridCol w:w="1304"/>
        <w:gridCol w:w="1474"/>
      </w:tblGrid>
      <w:tr>
        <w:trPr>
          <w:cantSplit/>
          <w:tblHeader/>
        </w:trPr>
        <w:tc>
          <w:tcPr>
            <w:tcW w:type="dxa" w:w="2381"/>
            <w:shd w:val="clear" w:color="auto" w:fill="F4F5F6"/>
          </w:tcPr>
          <w:p>
            <w:pPr>
              <w:spacing w:after="0"/>
            </w:pPr>
            <w:r>
              <w:rPr>
                <w:b/>
                <w:i w:val="0"/>
                <w:color w:val="0F1115"/>
                <w:sz w:val="19"/>
              </w:rPr>
              <w:t>Person</w:t>
            </w:r>
          </w:p>
        </w:tc>
        <w:tc>
          <w:tcPr>
            <w:tcW w:type="dxa" w:w="2268"/>
            <w:shd w:val="clear" w:color="auto" w:fill="F4F5F6"/>
          </w:tcPr>
          <w:p>
            <w:pPr>
              <w:spacing w:after="0"/>
            </w:pPr>
            <w:r>
              <w:rPr>
                <w:b/>
                <w:i w:val="0"/>
                <w:color w:val="0F1115"/>
                <w:sz w:val="19"/>
              </w:rPr>
              <w:t>What they do</w:t>
            </w:r>
          </w:p>
        </w:tc>
        <w:tc>
          <w:tcPr>
            <w:tcW w:type="dxa" w:w="907"/>
            <w:shd w:val="clear" w:color="auto" w:fill="F4F5F6"/>
          </w:tcPr>
          <w:p>
            <w:pPr>
              <w:spacing w:after="0"/>
            </w:pPr>
            <w:r>
              <w:rPr>
                <w:b/>
                <w:i w:val="0"/>
                <w:color w:val="0F1115"/>
                <w:sz w:val="19"/>
              </w:rPr>
              <w:t>Days a week</w:t>
            </w:r>
          </w:p>
        </w:tc>
        <w:tc>
          <w:tcPr>
            <w:tcW w:type="dxa" w:w="1304"/>
            <w:shd w:val="clear" w:color="auto" w:fill="F4F5F6"/>
          </w:tcPr>
          <w:p>
            <w:pPr>
              <w:spacing w:after="0"/>
            </w:pPr>
            <w:r>
              <w:rPr>
                <w:b/>
                <w:i w:val="0"/>
                <w:color w:val="0F1115"/>
                <w:sz w:val="19"/>
              </w:rPr>
              <w:t>From</w:t>
            </w:r>
          </w:p>
        </w:tc>
        <w:tc>
          <w:tcPr>
            <w:tcW w:type="dxa" w:w="1304"/>
            <w:shd w:val="clear" w:color="auto" w:fill="F4F5F6"/>
          </w:tcPr>
          <w:p>
            <w:pPr>
              <w:spacing w:after="0"/>
            </w:pPr>
            <w:r>
              <w:rPr>
                <w:b/>
                <w:i w:val="0"/>
                <w:color w:val="0F1115"/>
                <w:sz w:val="19"/>
              </w:rPr>
              <w:t>To</w:t>
            </w:r>
          </w:p>
        </w:tc>
        <w:tc>
          <w:tcPr>
            <w:tcW w:type="dxa" w:w="1474"/>
            <w:shd w:val="clear" w:color="auto" w:fill="F4F5F6"/>
          </w:tcPr>
          <w:p>
            <w:pPr>
              <w:spacing w:after="0"/>
            </w:pPr>
            <w:r>
              <w:rPr>
                <w:b/>
                <w:i w:val="0"/>
                <w:color w:val="0F1115"/>
                <w:sz w:val="19"/>
              </w:rPr>
              <w:t>Filled by</w:t>
            </w:r>
          </w:p>
        </w:tc>
      </w:tr>
      <w:tr>
        <w:trPr>
          <w:cantSplit/>
        </w:trPr>
        <w:tc>
          <w:tcPr>
            <w:tcW w:type="dxa" w:w="2381"/>
          </w:tcPr>
          <w:p>
            <w:pPr>
              <w:spacing w:after="0"/>
            </w:pPr>
            <w:r>
              <w:rPr>
                <w:b w:val="0"/>
                <w:i w:val="0"/>
                <w:color w:val="0F1115"/>
                <w:sz w:val="19"/>
              </w:rPr>
              <w:t>Anders (Engineering Manager)</w:t>
            </w:r>
          </w:p>
        </w:tc>
        <w:tc>
          <w:tcPr>
            <w:tcW w:type="dxa" w:w="2268"/>
          </w:tcPr>
          <w:p>
            <w:pPr>
              <w:spacing w:after="0"/>
            </w:pPr>
            <w:r>
              <w:rPr>
                <w:b w:val="0"/>
                <w:i w:val="0"/>
                <w:color w:val="0F1115"/>
                <w:sz w:val="19"/>
              </w:rPr>
              <w:t>Owner and technical lead</w:t>
            </w:r>
          </w:p>
        </w:tc>
        <w:tc>
          <w:tcPr>
            <w:tcW w:type="dxa" w:w="907"/>
          </w:tcPr>
          <w:p>
            <w:pPr>
              <w:spacing w:after="0"/>
              <w:jc w:val="right"/>
            </w:pPr>
            <w:r>
              <w:rPr>
                <w:b w:val="0"/>
                <w:i w:val="0"/>
                <w:color w:val="0F1115"/>
                <w:sz w:val="19"/>
              </w:rPr>
              <w:t>2</w:t>
            </w:r>
          </w:p>
        </w:tc>
        <w:tc>
          <w:tcPr>
            <w:tcW w:type="dxa" w:w="1304"/>
          </w:tcPr>
          <w:p>
            <w:pPr>
              <w:spacing w:after="0"/>
            </w:pPr>
            <w:r>
              <w:rPr>
                <w:b w:val="0"/>
                <w:i w:val="0"/>
                <w:color w:val="0F1115"/>
                <w:sz w:val="19"/>
              </w:rPr>
              <w:t>26 Oct 2026</w:t>
            </w:r>
          </w:p>
        </w:tc>
        <w:tc>
          <w:tcPr>
            <w:tcW w:type="dxa" w:w="1304"/>
          </w:tcPr>
          <w:p>
            <w:pPr>
              <w:spacing w:after="0"/>
            </w:pPr>
            <w:r>
              <w:rPr>
                <w:b w:val="0"/>
                <w:i w:val="0"/>
                <w:color w:val="0F1115"/>
                <w:sz w:val="19"/>
              </w:rPr>
              <w:t>28 Jun 2027</w:t>
            </w:r>
          </w:p>
        </w:tc>
        <w:tc>
          <w:tcPr>
            <w:tcW w:type="dxa" w:w="1474"/>
          </w:tcPr>
          <w:p/>
        </w:tc>
      </w:tr>
      <w:tr>
        <w:trPr>
          <w:cantSplit/>
        </w:trPr>
        <w:tc>
          <w:tcPr>
            <w:tcW w:type="dxa" w:w="2381"/>
          </w:tcPr>
          <w:p>
            <w:pPr>
              <w:spacing w:after="0"/>
            </w:pPr>
            <w:r>
              <w:rPr>
                <w:b w:val="0"/>
                <w:i w:val="0"/>
                <w:color w:val="0F1115"/>
                <w:sz w:val="19"/>
              </w:rPr>
              <w:t>Backend engineers</w:t>
            </w:r>
          </w:p>
        </w:tc>
        <w:tc>
          <w:tcPr>
            <w:tcW w:type="dxa" w:w="2268"/>
          </w:tcPr>
          <w:p>
            <w:pPr>
              <w:spacing w:after="0"/>
            </w:pPr>
            <w:r>
              <w:rPr>
                <w:b w:val="0"/>
                <w:i w:val="0"/>
                <w:color w:val="0F1115"/>
                <w:sz w:val="19"/>
              </w:rPr>
              <w:t>Build and test</w:t>
            </w:r>
          </w:p>
        </w:tc>
        <w:tc>
          <w:tcPr>
            <w:tcW w:type="dxa" w:w="907"/>
          </w:tcPr>
          <w:p>
            <w:pPr>
              <w:spacing w:after="0"/>
              <w:jc w:val="right"/>
            </w:pPr>
            <w:r>
              <w:rPr>
                <w:b w:val="0"/>
                <w:i w:val="0"/>
                <w:color w:val="0F1115"/>
                <w:sz w:val="19"/>
              </w:rPr>
              <w:t>15</w:t>
            </w:r>
          </w:p>
        </w:tc>
        <w:tc>
          <w:tcPr>
            <w:tcW w:type="dxa" w:w="1304"/>
          </w:tcPr>
          <w:p>
            <w:pPr>
              <w:spacing w:after="0"/>
            </w:pPr>
            <w:r>
              <w:rPr>
                <w:b w:val="0"/>
                <w:i w:val="0"/>
                <w:color w:val="0F1115"/>
                <w:sz w:val="19"/>
              </w:rPr>
              <w:t>26 Oct 2026</w:t>
            </w:r>
          </w:p>
        </w:tc>
        <w:tc>
          <w:tcPr>
            <w:tcW w:type="dxa" w:w="1304"/>
          </w:tcPr>
          <w:p>
            <w:pPr>
              <w:spacing w:after="0"/>
            </w:pPr>
            <w:r>
              <w:rPr>
                <w:b w:val="0"/>
                <w:i w:val="0"/>
                <w:color w:val="0F1115"/>
                <w:sz w:val="19"/>
              </w:rPr>
              <w:t>18 Jan 2027</w:t>
            </w:r>
          </w:p>
        </w:tc>
        <w:tc>
          <w:tcPr>
            <w:tcW w:type="dxa" w:w="1474"/>
          </w:tcPr>
          <w:p/>
        </w:tc>
      </w:tr>
      <w:tr>
        <w:trPr>
          <w:cantSplit/>
        </w:trPr>
        <w:tc>
          <w:tcPr>
            <w:tcW w:type="dxa" w:w="2381"/>
          </w:tcPr>
          <w:p>
            <w:pPr>
              <w:spacing w:after="0"/>
            </w:pPr>
            <w:r>
              <w:rPr>
                <w:b w:val="0"/>
                <w:i w:val="0"/>
                <w:color w:val="0F1115"/>
                <w:sz w:val="19"/>
              </w:rPr>
              <w:t>Rhys (Finance Operations Lead)</w:t>
            </w:r>
          </w:p>
        </w:tc>
        <w:tc>
          <w:tcPr>
            <w:tcW w:type="dxa" w:w="2268"/>
          </w:tcPr>
          <w:p>
            <w:pPr>
              <w:spacing w:after="0"/>
            </w:pPr>
            <w:r>
              <w:rPr>
                <w:b w:val="0"/>
                <w:i w:val="0"/>
                <w:color w:val="0F1115"/>
                <w:sz w:val="19"/>
              </w:rPr>
              <w:t>Accepts D1 to D3, then takes over the billing run</w:t>
            </w:r>
          </w:p>
        </w:tc>
        <w:tc>
          <w:tcPr>
            <w:tcW w:type="dxa" w:w="907"/>
          </w:tcPr>
          <w:p>
            <w:pPr>
              <w:spacing w:after="0"/>
              <w:jc w:val="right"/>
            </w:pPr>
            <w:r>
              <w:rPr>
                <w:b w:val="0"/>
                <w:i w:val="0"/>
                <w:color w:val="0F1115"/>
                <w:sz w:val="19"/>
              </w:rPr>
              <w:t>1</w:t>
            </w:r>
          </w:p>
        </w:tc>
        <w:tc>
          <w:tcPr>
            <w:tcW w:type="dxa" w:w="1304"/>
          </w:tcPr>
          <w:p>
            <w:pPr>
              <w:spacing w:after="0"/>
            </w:pPr>
            <w:r>
              <w:rPr>
                <w:b w:val="0"/>
                <w:i w:val="0"/>
                <w:color w:val="0F1115"/>
                <w:sz w:val="19"/>
              </w:rPr>
              <w:t>7 Sep 2026</w:t>
            </w:r>
          </w:p>
        </w:tc>
        <w:tc>
          <w:tcPr>
            <w:tcW w:type="dxa" w:w="1304"/>
          </w:tcPr>
          <w:p>
            <w:pPr>
              <w:spacing w:after="0"/>
            </w:pPr>
            <w:r>
              <w:rPr>
                <w:b w:val="0"/>
                <w:i w:val="0"/>
                <w:color w:val="0F1115"/>
                <w:sz w:val="19"/>
              </w:rPr>
              <w:t>28 Jun 2027</w:t>
            </w:r>
          </w:p>
        </w:tc>
        <w:tc>
          <w:tcPr>
            <w:tcW w:type="dxa" w:w="1474"/>
          </w:tcPr>
          <w:p/>
        </w:tc>
      </w:tr>
      <w:tr>
        <w:trPr>
          <w:cantSplit/>
        </w:trPr>
        <w:tc>
          <w:tcPr>
            <w:tcW w:type="dxa" w:w="2381"/>
          </w:tcPr>
          <w:p>
            <w:pPr>
              <w:spacing w:after="0"/>
            </w:pPr>
            <w:r>
              <w:rPr>
                <w:b w:val="0"/>
                <w:i w:val="0"/>
                <w:color w:val="0F1115"/>
                <w:sz w:val="19"/>
              </w:rPr>
              <w:t>Noor (Support Lead)</w:t>
            </w:r>
          </w:p>
        </w:tc>
        <w:tc>
          <w:tcPr>
            <w:tcW w:type="dxa" w:w="2268"/>
          </w:tcPr>
          <w:p>
            <w:pPr>
              <w:spacing w:after="0"/>
            </w:pPr>
            <w:r>
              <w:rPr>
                <w:b w:val="0"/>
                <w:i w:val="0"/>
                <w:color w:val="0F1115"/>
                <w:sz w:val="19"/>
              </w:rPr>
              <w:t>Runbook and training</w:t>
            </w:r>
          </w:p>
        </w:tc>
        <w:tc>
          <w:tcPr>
            <w:tcW w:type="dxa" w:w="907"/>
          </w:tcPr>
          <w:p>
            <w:pPr>
              <w:spacing w:after="0"/>
              <w:jc w:val="right"/>
            </w:pPr>
            <w:r>
              <w:rPr>
                <w:b w:val="0"/>
                <w:i w:val="0"/>
                <w:color w:val="0F1115"/>
                <w:sz w:val="19"/>
              </w:rPr>
              <w:t>1</w:t>
            </w:r>
          </w:p>
        </w:tc>
        <w:tc>
          <w:tcPr>
            <w:tcW w:type="dxa" w:w="1304"/>
          </w:tcPr>
          <w:p>
            <w:pPr>
              <w:spacing w:after="0"/>
            </w:pPr>
            <w:r>
              <w:rPr>
                <w:b w:val="0"/>
                <w:i w:val="0"/>
                <w:color w:val="0F1115"/>
                <w:sz w:val="19"/>
              </w:rPr>
              <w:t>8 Jun 2026</w:t>
            </w:r>
          </w:p>
        </w:tc>
        <w:tc>
          <w:tcPr>
            <w:tcW w:type="dxa" w:w="1304"/>
          </w:tcPr>
          <w:p>
            <w:pPr>
              <w:spacing w:after="0"/>
            </w:pPr>
            <w:r>
              <w:rPr>
                <w:b w:val="0"/>
                <w:i w:val="0"/>
                <w:color w:val="0F1115"/>
                <w:sz w:val="19"/>
              </w:rPr>
              <w:t>28 Jun 2027</w:t>
            </w:r>
          </w:p>
        </w:tc>
        <w:tc>
          <w:tcPr>
            <w:tcW w:type="dxa" w:w="1474"/>
          </w:tcPr>
          <w:p/>
        </w:tc>
      </w:tr>
    </w:tbl>
    <w:p>
      <w:pPr>
        <w:keepNext w:val="0"/>
        <w:spacing w:after="40" w:before="0"/>
      </w:pP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3061"/>
        <w:gridCol w:w="6576"/>
      </w:tblGrid>
      <w:tr>
        <w:trPr>
          <w:cantSplit/>
        </w:trPr>
        <w:tc>
          <w:tcPr>
            <w:tcW w:type="dxa" w:w="3061"/>
          </w:tcPr>
          <w:p>
            <w:pPr>
              <w:spacing w:after="0"/>
            </w:pPr>
            <w:r>
              <w:rPr>
                <w:b/>
                <w:i w:val="0"/>
                <w:color w:val="0F1115"/>
                <w:sz w:val="21"/>
              </w:rPr>
              <w:t>Sponsor</w:t>
            </w:r>
          </w:p>
        </w:tc>
        <w:tc>
          <w:tcPr>
            <w:tcW w:type="dxa" w:w="6576"/>
          </w:tcPr>
          <w:p>
            <w:pPr>
              <w:spacing w:after="0"/>
            </w:pPr>
            <w:r>
              <w:rPr>
                <w:b w:val="0"/>
                <w:i w:val="0"/>
                <w:color w:val="0F1115"/>
                <w:sz w:val="21"/>
              </w:rPr>
              <w:t>Hugo (Program Manager)</w:t>
            </w:r>
          </w:p>
        </w:tc>
      </w:tr>
      <w:tr>
        <w:trPr>
          <w:cantSplit/>
        </w:trPr>
        <w:tc>
          <w:tcPr>
            <w:tcW w:type="dxa" w:w="3061"/>
          </w:tcPr>
          <w:p>
            <w:pPr>
              <w:spacing w:after="0"/>
            </w:pPr>
            <w:r>
              <w:rPr>
                <w:b/>
                <w:i w:val="0"/>
                <w:color w:val="0F1115"/>
                <w:sz w:val="21"/>
              </w:rPr>
              <w:t>Owner</w:t>
            </w:r>
          </w:p>
        </w:tc>
        <w:tc>
          <w:tcPr>
            <w:tcW w:type="dxa" w:w="6576"/>
          </w:tcPr>
          <w:p>
            <w:pPr>
              <w:spacing w:after="0"/>
            </w:pPr>
            <w:r>
              <w:rPr>
                <w:b w:val="0"/>
                <w:i w:val="0"/>
                <w:color w:val="0F1115"/>
                <w:sz w:val="21"/>
              </w:rPr>
              <w:t>Anders (Engineering Manager)</w:t>
            </w:r>
          </w:p>
        </w:tc>
      </w:tr>
      <w:tr>
        <w:trPr>
          <w:cantSplit/>
        </w:trPr>
        <w:tc>
          <w:tcPr>
            <w:tcW w:type="dxa" w:w="3061"/>
          </w:tcPr>
          <w:p>
            <w:pPr>
              <w:spacing w:after="0"/>
            </w:pPr>
            <w:r>
              <w:rPr>
                <w:b/>
                <w:i w:val="0"/>
                <w:color w:val="0F1115"/>
                <w:sz w:val="21"/>
              </w:rPr>
              <w:t>What the owner can decide alone</w:t>
            </w:r>
          </w:p>
        </w:tc>
        <w:tc>
          <w:tcPr>
            <w:tcW w:type="dxa" w:w="6576"/>
          </w:tcPr>
          <w:p>
            <w:pPr>
              <w:spacing w:after="0"/>
            </w:pPr>
            <w:r>
              <w:rPr>
                <w:b w:val="0"/>
                <w:i w:val="0"/>
                <w:color w:val="0F1115"/>
                <w:sz w:val="21"/>
              </w:rPr>
              <w:t>Move a date by up to 5 working days, and spend up to 15,600 over the share (2 percent of it). Tell Hugo (Program Manager) the same day. The program's tolerance is shared by all its projects, so anything more goes to the sponsor as a change in Section 8.</w:t>
            </w:r>
          </w:p>
        </w:tc>
      </w:tr>
      <w:tr>
        <w:trPr>
          <w:cantSplit/>
        </w:trPr>
        <w:tc>
          <w:tcPr>
            <w:tcW w:type="dxa" w:w="3061"/>
          </w:tcPr>
          <w:p>
            <w:pPr>
              <w:spacing w:after="0"/>
            </w:pPr>
            <w:r>
              <w:rPr>
                <w:b/>
                <w:i w:val="0"/>
                <w:color w:val="0F1115"/>
                <w:sz w:val="21"/>
              </w:rPr>
              <w:t>Takes it over after cutover</w:t>
            </w:r>
          </w:p>
        </w:tc>
        <w:tc>
          <w:tcPr>
            <w:tcW w:type="dxa" w:w="6576"/>
          </w:tcPr>
          <w:p>
            <w:pPr>
              <w:spacing w:after="0"/>
            </w:pPr>
            <w:r>
              <w:rPr>
                <w:b w:val="0"/>
                <w:i w:val="0"/>
                <w:color w:val="0F1115"/>
                <w:sz w:val="21"/>
              </w:rPr>
              <w:t>Rhys (Finance Operations Lead), the billing run; Noor (Support Lead), support for the new engine.</w:t>
            </w:r>
          </w:p>
        </w:tc>
      </w:tr>
    </w:tbl>
    <w:p>
      <w:pPr>
        <w:pStyle w:val="Heading1"/>
      </w:pPr>
      <w:r>
        <w:rPr>
          <w:b/>
          <w:i w:val="0"/>
          <w:color w:val="0F1115"/>
          <w:sz w:val="26"/>
        </w:rPr>
        <w:t>7. What could go wrong, and what we rely on</w:t>
      </w:r>
    </w:p>
    <w:p>
      <w:pPr>
        <w:keepNext/>
        <w:spacing w:after="40" w:before="80"/>
      </w:pPr>
      <w:r>
        <w:rPr>
          <w:b/>
          <w:i w:val="0"/>
          <w:color w:val="0F1115"/>
          <w:sz w:val="21"/>
        </w:rPr>
        <w:t>Table G. Risks and assumptions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361"/>
        <w:gridCol w:w="4762"/>
        <w:gridCol w:w="2154"/>
        <w:gridCol w:w="1361"/>
      </w:tblGrid>
      <w:tr>
        <w:trPr>
          <w:cantSplit/>
          <w:tblHeader/>
        </w:trPr>
        <w:tc>
          <w:tcPr>
            <w:tcW w:type="dxa" w:w="1361"/>
            <w:shd w:val="clear" w:color="auto" w:fill="F4F5F6"/>
          </w:tcPr>
          <w:p>
            <w:pPr>
              <w:spacing w:after="0"/>
            </w:pPr>
            <w:r>
              <w:rPr>
                <w:b/>
                <w:i w:val="0"/>
                <w:color w:val="0F1115"/>
                <w:sz w:val="19"/>
              </w:rPr>
              <w:t>Kind</w:t>
            </w:r>
          </w:p>
        </w:tc>
        <w:tc>
          <w:tcPr>
            <w:tcW w:type="dxa" w:w="4762"/>
            <w:shd w:val="clear" w:color="auto" w:fill="F4F5F6"/>
          </w:tcPr>
          <w:p>
            <w:pPr>
              <w:spacing w:after="0"/>
            </w:pPr>
            <w:r>
              <w:rPr>
                <w:b/>
                <w:i w:val="0"/>
                <w:color w:val="0F1115"/>
                <w:sz w:val="19"/>
              </w:rPr>
              <w:t>What</w:t>
            </w:r>
          </w:p>
        </w:tc>
        <w:tc>
          <w:tcPr>
            <w:tcW w:type="dxa" w:w="2154"/>
            <w:shd w:val="clear" w:color="auto" w:fill="F4F5F6"/>
          </w:tcPr>
          <w:p>
            <w:pPr>
              <w:spacing w:after="0"/>
            </w:pPr>
            <w:r>
              <w:rPr>
                <w:b/>
                <w:i w:val="0"/>
                <w:color w:val="0F1115"/>
                <w:sz w:val="19"/>
              </w:rPr>
              <w:t>Owner</w:t>
            </w:r>
          </w:p>
        </w:tc>
        <w:tc>
          <w:tcPr>
            <w:tcW w:type="dxa" w:w="1361"/>
            <w:shd w:val="clear" w:color="auto" w:fill="F4F5F6"/>
          </w:tcPr>
          <w:p>
            <w:pPr>
              <w:spacing w:after="0"/>
            </w:pPr>
            <w:r>
              <w:rPr>
                <w:b/>
                <w:i w:val="0"/>
                <w:color w:val="0F1115"/>
                <w:sz w:val="19"/>
              </w:rPr>
              <w:t>Look again on</w:t>
            </w:r>
          </w:p>
        </w:tc>
      </w:tr>
      <w:tr>
        <w:trPr>
          <w:cantSplit/>
        </w:trPr>
        <w:tc>
          <w:tcPr>
            <w:tcW w:type="dxa" w:w="1361"/>
          </w:tcPr>
          <w:p>
            <w:pPr>
              <w:spacing w:after="0"/>
            </w:pPr>
            <w:r>
              <w:rPr>
                <w:b w:val="0"/>
                <w:i w:val="0"/>
                <w:color w:val="0F1115"/>
                <w:sz w:val="19"/>
              </w:rPr>
              <w:t>Risk</w:t>
            </w:r>
          </w:p>
        </w:tc>
        <w:tc>
          <w:tcPr>
            <w:tcW w:type="dxa" w:w="4762"/>
          </w:tcPr>
          <w:p>
            <w:pPr>
              <w:spacing w:after="0"/>
            </w:pPr>
            <w:r>
              <w:rPr>
                <w:b w:val="0"/>
                <w:i w:val="0"/>
                <w:color w:val="0F1115"/>
                <w:sz w:val="19"/>
              </w:rPr>
              <w:t>The tax rules arrive late and hold up the second wave from 1 Feb 2027</w:t>
            </w:r>
          </w:p>
        </w:tc>
        <w:tc>
          <w:tcPr>
            <w:tcW w:type="dxa" w:w="2154"/>
          </w:tcPr>
          <w:p>
            <w:pPr>
              <w:spacing w:after="0"/>
            </w:pPr>
            <w:r>
              <w:rPr>
                <w:b w:val="0"/>
                <w:i w:val="0"/>
                <w:color w:val="0F1115"/>
                <w:sz w:val="19"/>
              </w:rPr>
              <w:t>Hugo (Program Manager)</w:t>
            </w:r>
          </w:p>
        </w:tc>
        <w:tc>
          <w:tcPr>
            <w:tcW w:type="dxa" w:w="1361"/>
          </w:tcPr>
          <w:p>
            <w:pPr>
              <w:spacing w:after="0"/>
            </w:pPr>
            <w:r>
              <w:rPr>
                <w:b w:val="0"/>
                <w:i w:val="0"/>
                <w:color w:val="0F1115"/>
                <w:sz w:val="19"/>
              </w:rPr>
              <w:t>2 Nov 2026</w:t>
            </w:r>
          </w:p>
        </w:tc>
      </w:tr>
      <w:tr>
        <w:trPr>
          <w:cantSplit/>
        </w:trPr>
        <w:tc>
          <w:tcPr>
            <w:tcW w:type="dxa" w:w="1361"/>
          </w:tcPr>
          <w:p>
            <w:pPr>
              <w:spacing w:after="0"/>
            </w:pPr>
            <w:r>
              <w:rPr>
                <w:b w:val="0"/>
                <w:i w:val="0"/>
                <w:color w:val="0F1115"/>
                <w:sz w:val="19"/>
              </w:rPr>
              <w:t>Risk</w:t>
            </w:r>
          </w:p>
        </w:tc>
        <w:tc>
          <w:tcPr>
            <w:tcW w:type="dxa" w:w="4762"/>
          </w:tcPr>
          <w:p>
            <w:pPr>
              <w:spacing w:after="0"/>
            </w:pPr>
            <w:r>
              <w:rPr>
                <w:b w:val="0"/>
                <w:i w:val="0"/>
                <w:color w:val="0F1115"/>
                <w:sz w:val="19"/>
              </w:rPr>
              <w:t>The cutover weekend overruns</w:t>
            </w:r>
          </w:p>
        </w:tc>
        <w:tc>
          <w:tcPr>
            <w:tcW w:type="dxa" w:w="2154"/>
          </w:tcPr>
          <w:p>
            <w:pPr>
              <w:spacing w:after="0"/>
            </w:pPr>
            <w:r>
              <w:rPr>
                <w:b w:val="0"/>
                <w:i w:val="0"/>
                <w:color w:val="0F1115"/>
                <w:sz w:val="19"/>
              </w:rPr>
              <w:t>Anders (Engineering Manager)</w:t>
            </w:r>
          </w:p>
        </w:tc>
        <w:tc>
          <w:tcPr>
            <w:tcW w:type="dxa" w:w="1361"/>
          </w:tcPr>
          <w:p>
            <w:pPr>
              <w:spacing w:after="0"/>
            </w:pPr>
            <w:r>
              <w:rPr>
                <w:b w:val="0"/>
                <w:i w:val="0"/>
                <w:color w:val="0F1115"/>
                <w:sz w:val="19"/>
              </w:rPr>
              <w:t>30 Nov 2026</w:t>
            </w:r>
          </w:p>
        </w:tc>
      </w:tr>
      <w:tr>
        <w:trPr>
          <w:cantSplit/>
        </w:trPr>
        <w:tc>
          <w:tcPr>
            <w:tcW w:type="dxa" w:w="1361"/>
          </w:tcPr>
          <w:p>
            <w:pPr>
              <w:spacing w:after="0"/>
            </w:pPr>
            <w:r>
              <w:rPr>
                <w:b w:val="0"/>
                <w:i w:val="0"/>
                <w:color w:val="0F1115"/>
                <w:sz w:val="19"/>
              </w:rPr>
              <w:t>Risk</w:t>
            </w:r>
          </w:p>
        </w:tc>
        <w:tc>
          <w:tcPr>
            <w:tcW w:type="dxa" w:w="4762"/>
          </w:tcPr>
          <w:p>
            <w:pPr>
              <w:spacing w:after="0"/>
            </w:pPr>
            <w:r>
              <w:rPr>
                <w:b w:val="0"/>
                <w:i w:val="0"/>
                <w:color w:val="0F1115"/>
                <w:sz w:val="19"/>
              </w:rPr>
              <w:t>The new engine's running cost (140,000 a year) is in no budget line</w:t>
            </w:r>
          </w:p>
        </w:tc>
        <w:tc>
          <w:tcPr>
            <w:tcW w:type="dxa" w:w="2154"/>
          </w:tcPr>
          <w:p>
            <w:pPr>
              <w:spacing w:after="0"/>
            </w:pPr>
            <w:r>
              <w:rPr>
                <w:b w:val="0"/>
                <w:i w:val="0"/>
                <w:color w:val="0F1115"/>
                <w:sz w:val="19"/>
              </w:rPr>
              <w:t>Rhys (Finance Operations Lead)</w:t>
            </w:r>
          </w:p>
        </w:tc>
        <w:tc>
          <w:tcPr>
            <w:tcW w:type="dxa" w:w="1361"/>
          </w:tcPr>
          <w:p>
            <w:pPr>
              <w:spacing w:after="0"/>
            </w:pPr>
            <w:r>
              <w:rPr>
                <w:b w:val="0"/>
                <w:i w:val="0"/>
                <w:color w:val="0F1115"/>
                <w:sz w:val="19"/>
              </w:rPr>
              <w:t>2 Nov 2026</w:t>
            </w:r>
          </w:p>
        </w:tc>
      </w:tr>
      <w:tr>
        <w:trPr>
          <w:cantSplit/>
        </w:trPr>
        <w:tc>
          <w:tcPr>
            <w:tcW w:type="dxa" w:w="1361"/>
          </w:tcPr>
          <w:p>
            <w:pPr>
              <w:spacing w:after="0"/>
            </w:pPr>
            <w:r>
              <w:rPr>
                <w:b w:val="0"/>
                <w:i w:val="0"/>
                <w:color w:val="0F1115"/>
                <w:sz w:val="19"/>
              </w:rPr>
              <w:t>Assumption</w:t>
            </w:r>
          </w:p>
        </w:tc>
        <w:tc>
          <w:tcPr>
            <w:tcW w:type="dxa" w:w="4762"/>
          </w:tcPr>
          <w:p>
            <w:pPr>
              <w:spacing w:after="0"/>
            </w:pPr>
            <w:r>
              <w:rPr>
                <w:b w:val="0"/>
                <w:i w:val="0"/>
                <w:color w:val="0F1115"/>
                <w:sz w:val="19"/>
              </w:rPr>
              <w:t>Finance Operations signs off invoice totals in two working days</w:t>
            </w:r>
          </w:p>
        </w:tc>
        <w:tc>
          <w:tcPr>
            <w:tcW w:type="dxa" w:w="2154"/>
          </w:tcPr>
          <w:p>
            <w:pPr>
              <w:spacing w:after="0"/>
            </w:pPr>
            <w:r>
              <w:rPr>
                <w:b w:val="0"/>
                <w:i w:val="0"/>
                <w:color w:val="0F1115"/>
                <w:sz w:val="19"/>
              </w:rPr>
              <w:t>Rhys (Finance Operations Lead)</w:t>
            </w:r>
          </w:p>
        </w:tc>
        <w:tc>
          <w:tcPr>
            <w:tcW w:type="dxa" w:w="1361"/>
          </w:tcPr>
          <w:p>
            <w:pPr>
              <w:spacing w:after="0"/>
            </w:pPr>
            <w:r>
              <w:rPr>
                <w:b w:val="0"/>
                <w:i w:val="0"/>
                <w:color w:val="0F1115"/>
                <w:sz w:val="19"/>
              </w:rPr>
              <w:t>16 Nov 2026</w:t>
            </w:r>
          </w:p>
        </w:tc>
      </w:tr>
    </w:tbl>
    <w:p>
      <w:pPr>
        <w:keepNext/>
        <w:spacing w:after="40" w:before="80"/>
      </w:pPr>
      <w:r>
        <w:rPr>
          <w:b/>
          <w:i w:val="0"/>
          <w:color w:val="0F1115"/>
          <w:sz w:val="21"/>
        </w:rPr>
        <w:t>Table H. What we rely on</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061"/>
        <w:gridCol w:w="1814"/>
        <w:gridCol w:w="1304"/>
        <w:gridCol w:w="1474"/>
        <w:gridCol w:w="1984"/>
      </w:tblGrid>
      <w:tr>
        <w:trPr>
          <w:cantSplit/>
          <w:tblHeader/>
        </w:trPr>
        <w:tc>
          <w:tcPr>
            <w:tcW w:type="dxa" w:w="3061"/>
            <w:shd w:val="clear" w:color="auto" w:fill="F4F5F6"/>
          </w:tcPr>
          <w:p>
            <w:pPr>
              <w:spacing w:after="0"/>
            </w:pPr>
            <w:r>
              <w:rPr>
                <w:b/>
                <w:i w:val="0"/>
                <w:color w:val="0F1115"/>
                <w:sz w:val="19"/>
              </w:rPr>
              <w:t>Needs</w:t>
            </w:r>
          </w:p>
        </w:tc>
        <w:tc>
          <w:tcPr>
            <w:tcW w:type="dxa" w:w="1814"/>
            <w:shd w:val="clear" w:color="auto" w:fill="F4F5F6"/>
          </w:tcPr>
          <w:p>
            <w:pPr>
              <w:spacing w:after="0"/>
            </w:pPr>
            <w:r>
              <w:rPr>
                <w:b/>
                <w:i w:val="0"/>
                <w:color w:val="0F1115"/>
                <w:sz w:val="19"/>
              </w:rPr>
              <w:t>Provided by</w:t>
            </w:r>
          </w:p>
        </w:tc>
        <w:tc>
          <w:tcPr>
            <w:tcW w:type="dxa" w:w="1304"/>
            <w:shd w:val="clear" w:color="auto" w:fill="F4F5F6"/>
          </w:tcPr>
          <w:p>
            <w:pPr>
              <w:spacing w:after="0"/>
            </w:pPr>
            <w:r>
              <w:rPr>
                <w:b/>
                <w:i w:val="0"/>
                <w:color w:val="0F1115"/>
                <w:sz w:val="19"/>
              </w:rPr>
              <w:t>Needed by</w:t>
            </w:r>
          </w:p>
        </w:tc>
        <w:tc>
          <w:tcPr>
            <w:tcW w:type="dxa" w:w="1474"/>
            <w:shd w:val="clear" w:color="auto" w:fill="F4F5F6"/>
          </w:tcPr>
          <w:p>
            <w:pPr>
              <w:spacing w:after="0"/>
            </w:pPr>
            <w:r>
              <w:rPr>
                <w:b/>
                <w:i w:val="0"/>
                <w:color w:val="0F1115"/>
                <w:sz w:val="19"/>
              </w:rPr>
              <w:t>Feeds</w:t>
            </w:r>
          </w:p>
        </w:tc>
        <w:tc>
          <w:tcPr>
            <w:tcW w:type="dxa" w:w="1984"/>
            <w:shd w:val="clear" w:color="auto" w:fill="F4F5F6"/>
          </w:tcPr>
          <w:p>
            <w:pPr>
              <w:spacing w:after="0"/>
            </w:pPr>
            <w:r>
              <w:rPr>
                <w:b/>
                <w:i w:val="0"/>
                <w:color w:val="0F1115"/>
                <w:sz w:val="19"/>
              </w:rPr>
              <w:t>Who answers</w:t>
            </w:r>
          </w:p>
        </w:tc>
      </w:tr>
      <w:tr>
        <w:trPr>
          <w:cantSplit/>
        </w:trPr>
        <w:tc>
          <w:tcPr>
            <w:tcW w:type="dxa" w:w="3061"/>
          </w:tcPr>
          <w:p>
            <w:pPr>
              <w:spacing w:after="0"/>
            </w:pPr>
            <w:r>
              <w:rPr>
                <w:b w:val="0"/>
                <w:i w:val="0"/>
                <w:color w:val="0F1115"/>
                <w:sz w:val="19"/>
              </w:rPr>
              <w:t>Tax rules for customers outside the US in the second wave</w:t>
            </w:r>
          </w:p>
        </w:tc>
        <w:tc>
          <w:tcPr>
            <w:tcW w:type="dxa" w:w="1814"/>
          </w:tcPr>
          <w:p>
            <w:pPr>
              <w:spacing w:after="0"/>
            </w:pPr>
            <w:r>
              <w:rPr>
                <w:b w:val="0"/>
                <w:i w:val="0"/>
                <w:color w:val="0F1115"/>
                <w:sz w:val="19"/>
              </w:rPr>
              <w:t>Invoice Tax Rules</w:t>
            </w:r>
          </w:p>
        </w:tc>
        <w:tc>
          <w:tcPr>
            <w:tcW w:type="dxa" w:w="1304"/>
          </w:tcPr>
          <w:p>
            <w:pPr>
              <w:spacing w:after="0"/>
            </w:pPr>
            <w:r>
              <w:rPr>
                <w:b w:val="0"/>
                <w:i w:val="0"/>
                <w:color w:val="0F1115"/>
                <w:sz w:val="19"/>
              </w:rPr>
              <w:t>1 Feb 2027</w:t>
            </w:r>
          </w:p>
        </w:tc>
        <w:tc>
          <w:tcPr>
            <w:tcW w:type="dxa" w:w="1474"/>
          </w:tcPr>
          <w:p>
            <w:pPr>
              <w:spacing w:after="0"/>
            </w:pPr>
            <w:r>
              <w:rPr>
                <w:b w:val="0"/>
                <w:i w:val="0"/>
                <w:color w:val="0F1115"/>
                <w:sz w:val="19"/>
              </w:rPr>
              <w:t>Handover accepted</w:t>
            </w:r>
          </w:p>
        </w:tc>
        <w:tc>
          <w:tcPr>
            <w:tcW w:type="dxa" w:w="1984"/>
          </w:tcPr>
          <w:p>
            <w:pPr>
              <w:spacing w:after="0"/>
            </w:pPr>
            <w:r>
              <w:rPr>
                <w:b w:val="0"/>
                <w:i w:val="0"/>
                <w:color w:val="0F1115"/>
                <w:sz w:val="19"/>
              </w:rPr>
              <w:t>Hugo (Program Manager)</w:t>
            </w:r>
          </w:p>
        </w:tc>
      </w:tr>
      <w:tr>
        <w:trPr>
          <w:cantSplit/>
        </w:trPr>
        <w:tc>
          <w:tcPr>
            <w:tcW w:type="dxa" w:w="3061"/>
          </w:tcPr>
          <w:p>
            <w:pPr>
              <w:spacing w:after="0"/>
            </w:pPr>
            <w:r>
              <w:rPr>
                <w:b w:val="0"/>
                <w:i w:val="0"/>
                <w:color w:val="0F1115"/>
                <w:sz w:val="19"/>
              </w:rPr>
              <w:t>Customer accounts for the second wave, a milestone in Data Migration Wave 2</w:t>
            </w:r>
          </w:p>
        </w:tc>
        <w:tc>
          <w:tcPr>
            <w:tcW w:type="dxa" w:w="1814"/>
          </w:tcPr>
          <w:p>
            <w:pPr>
              <w:spacing w:after="0"/>
            </w:pPr>
            <w:r>
              <w:rPr>
                <w:b w:val="0"/>
                <w:i w:val="0"/>
                <w:color w:val="0F1115"/>
                <w:sz w:val="19"/>
              </w:rPr>
              <w:t>Data Migration Wave 2</w:t>
            </w:r>
          </w:p>
        </w:tc>
        <w:tc>
          <w:tcPr>
            <w:tcW w:type="dxa" w:w="1304"/>
          </w:tcPr>
          <w:p>
            <w:pPr>
              <w:spacing w:after="0"/>
            </w:pPr>
            <w:r>
              <w:rPr>
                <w:b w:val="0"/>
                <w:i w:val="0"/>
                <w:color w:val="0F1115"/>
                <w:sz w:val="19"/>
              </w:rPr>
              <w:t>29 Jan 2027</w:t>
            </w:r>
          </w:p>
        </w:tc>
        <w:tc>
          <w:tcPr>
            <w:tcW w:type="dxa" w:w="1474"/>
          </w:tcPr>
          <w:p>
            <w:pPr>
              <w:spacing w:after="0"/>
            </w:pPr>
            <w:r>
              <w:rPr>
                <w:b w:val="0"/>
                <w:i w:val="0"/>
                <w:color w:val="0F1115"/>
                <w:sz w:val="19"/>
              </w:rPr>
              <w:t>Handover accepted</w:t>
            </w:r>
          </w:p>
        </w:tc>
        <w:tc>
          <w:tcPr>
            <w:tcW w:type="dxa" w:w="1984"/>
          </w:tcPr>
          <w:p>
            <w:pPr>
              <w:spacing w:after="0"/>
            </w:pPr>
            <w:r>
              <w:rPr>
                <w:b w:val="0"/>
                <w:i w:val="0"/>
                <w:color w:val="0F1115"/>
                <w:sz w:val="19"/>
              </w:rPr>
              <w:t>Kofi (Delivery Lead)</w:t>
            </w:r>
          </w:p>
        </w:tc>
      </w:tr>
    </w:tbl>
    <w:p>
      <w:pPr>
        <w:pStyle w:val="Heading1"/>
      </w:pPr>
      <w:r>
        <w:rPr>
          <w:b/>
          <w:i w:val="0"/>
          <w:color w:val="0F1115"/>
          <w:sz w:val="26"/>
        </w:rPr>
        <w:t>8. Changing this charter</w:t>
      </w:r>
    </w:p>
    <w:p>
      <w:pPr>
        <w:keepNext w:val="0"/>
        <w:spacing w:after="80" w:before="0"/>
      </w:pPr>
      <w:r>
        <w:rPr>
          <w:b w:val="0"/>
          <w:i w:val="0"/>
          <w:color w:val="0F1115"/>
          <w:sz w:val="21"/>
        </w:rPr>
        <w:t>Write a change here, with its reason, when it changes the purpose, a deliverable, what the project won't do, the share, the planned finish or the owner. It becomes the next version, and everyone in Section 9 signs again. A date in Section 5 other than Close that moves inside the date tolerance is a line here in the same version, with no new signatures. Once Plan baselined has passed, the change goes through change control first.</w:t>
      </w:r>
    </w:p>
    <w:p>
      <w:pPr>
        <w:keepNext w:val="0"/>
        <w:spacing w:after="80" w:before="0"/>
      </w:pPr>
      <w:r>
        <w:rPr>
          <w:b w:val="0"/>
          <w:i w:val="0"/>
          <w:color w:val="0F1115"/>
          <w:sz w:val="21"/>
        </w:rPr>
        <w:t>Charter version counts the signed versions of this document. The plan's baseline is numbered separately, by change control.</w:t>
      </w:r>
    </w:p>
    <w:p>
      <w:pPr>
        <w:keepNext/>
        <w:spacing w:after="40" w:before="80"/>
      </w:pPr>
      <w:r>
        <w:rPr>
          <w:b/>
          <w:i w:val="0"/>
          <w:color w:val="0F1115"/>
          <w:sz w:val="21"/>
        </w:rPr>
        <w:t>Table I. Changes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964"/>
        <w:gridCol w:w="1304"/>
        <w:gridCol w:w="3402"/>
        <w:gridCol w:w="2268"/>
        <w:gridCol w:w="1701"/>
      </w:tblGrid>
      <w:tr>
        <w:trPr>
          <w:cantSplit/>
          <w:tblHeader/>
        </w:trPr>
        <w:tc>
          <w:tcPr>
            <w:tcW w:type="dxa" w:w="964"/>
            <w:shd w:val="clear" w:color="auto" w:fill="F4F5F6"/>
          </w:tcPr>
          <w:p>
            <w:pPr>
              <w:spacing w:after="0"/>
            </w:pPr>
            <w:r>
              <w:rPr>
                <w:b/>
                <w:i w:val="0"/>
                <w:color w:val="0F1115"/>
                <w:sz w:val="19"/>
              </w:rPr>
              <w:t>Version</w:t>
            </w:r>
          </w:p>
        </w:tc>
        <w:tc>
          <w:tcPr>
            <w:tcW w:type="dxa" w:w="1304"/>
            <w:shd w:val="clear" w:color="auto" w:fill="F4F5F6"/>
          </w:tcPr>
          <w:p>
            <w:pPr>
              <w:spacing w:after="0"/>
            </w:pPr>
            <w:r>
              <w:rPr>
                <w:b/>
                <w:i w:val="0"/>
                <w:color w:val="0F1115"/>
                <w:sz w:val="19"/>
              </w:rPr>
              <w:t>Date</w:t>
            </w:r>
          </w:p>
        </w:tc>
        <w:tc>
          <w:tcPr>
            <w:tcW w:type="dxa" w:w="3402"/>
            <w:shd w:val="clear" w:color="auto" w:fill="F4F5F6"/>
          </w:tcPr>
          <w:p>
            <w:pPr>
              <w:spacing w:after="0"/>
            </w:pPr>
            <w:r>
              <w:rPr>
                <w:b/>
                <w:i w:val="0"/>
                <w:color w:val="0F1115"/>
                <w:sz w:val="19"/>
              </w:rPr>
              <w:t>What changed</w:t>
            </w:r>
          </w:p>
        </w:tc>
        <w:tc>
          <w:tcPr>
            <w:tcW w:type="dxa" w:w="2268"/>
            <w:shd w:val="clear" w:color="auto" w:fill="F4F5F6"/>
          </w:tcPr>
          <w:p>
            <w:pPr>
              <w:spacing w:after="0"/>
            </w:pPr>
            <w:r>
              <w:rPr>
                <w:b/>
                <w:i w:val="0"/>
                <w:color w:val="0F1115"/>
                <w:sz w:val="19"/>
              </w:rPr>
              <w:t>Why</w:t>
            </w:r>
          </w:p>
        </w:tc>
        <w:tc>
          <w:tcPr>
            <w:tcW w:type="dxa" w:w="1701"/>
            <w:shd w:val="clear" w:color="auto" w:fill="F4F5F6"/>
          </w:tcPr>
          <w:p>
            <w:pPr>
              <w:spacing w:after="0"/>
            </w:pPr>
            <w:r>
              <w:rPr>
                <w:b/>
                <w:i w:val="0"/>
                <w:color w:val="0F1115"/>
                <w:sz w:val="19"/>
              </w:rPr>
              <w:t>Decided by</w:t>
            </w:r>
          </w:p>
        </w:tc>
      </w:tr>
      <w:tr>
        <w:trPr>
          <w:cantSplit/>
        </w:trPr>
        <w:tc>
          <w:tcPr>
            <w:tcW w:type="dxa" w:w="9639"/>
            <w:gridSpan w:val="5"/>
          </w:tcPr>
          <w:p>
            <w:pPr>
              <w:spacing w:after="0"/>
            </w:pPr>
            <w:r>
              <w:rPr>
                <w:b w:val="0"/>
                <w:i w:val="0"/>
                <w:color w:val="0F1115"/>
                <w:sz w:val="19"/>
              </w:rPr>
              <w:t>No changes yet.</w:t>
            </w:r>
          </w:p>
        </w:tc>
      </w:tr>
    </w:tbl>
    <w:p>
      <w:pPr>
        <w:pStyle w:val="Heading1"/>
      </w:pPr>
      <w:r>
        <w:rPr>
          <w:b/>
          <w:i w:val="0"/>
          <w:color w:val="0F1115"/>
          <w:sz w:val="26"/>
        </w:rPr>
        <w:t>9. Sign-off</w:t>
      </w:r>
    </w:p>
    <w:p>
      <w:pPr>
        <w:keepNext/>
        <w:spacing w:after="40" w:before="80"/>
      </w:pPr>
      <w:r>
        <w:rPr>
          <w:b/>
          <w:i w:val="0"/>
          <w:color w:val="0F1115"/>
          <w:sz w:val="21"/>
        </w:rPr>
        <w:t>Table J. Sign-off</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587"/>
        <w:gridCol w:w="2041"/>
        <w:gridCol w:w="2835"/>
        <w:gridCol w:w="1361"/>
        <w:gridCol w:w="1077"/>
        <w:gridCol w:w="737"/>
      </w:tblGrid>
      <w:tr>
        <w:trPr>
          <w:cantSplit/>
          <w:tblHeader/>
        </w:trPr>
        <w:tc>
          <w:tcPr>
            <w:tcW w:type="dxa" w:w="1587"/>
            <w:shd w:val="clear" w:color="auto" w:fill="F4F5F6"/>
          </w:tcPr>
          <w:p>
            <w:pPr>
              <w:spacing w:after="0"/>
            </w:pPr>
            <w:r>
              <w:rPr>
                <w:b/>
                <w:i w:val="0"/>
                <w:color w:val="0F1115"/>
                <w:sz w:val="19"/>
              </w:rPr>
              <w:t>Role</w:t>
            </w:r>
          </w:p>
        </w:tc>
        <w:tc>
          <w:tcPr>
            <w:tcW w:type="dxa" w:w="2041"/>
            <w:shd w:val="clear" w:color="auto" w:fill="F4F5F6"/>
          </w:tcPr>
          <w:p>
            <w:pPr>
              <w:spacing w:after="0"/>
            </w:pPr>
            <w:r>
              <w:rPr>
                <w:b/>
                <w:i w:val="0"/>
                <w:color w:val="0F1115"/>
                <w:sz w:val="19"/>
              </w:rPr>
              <w:t>Name</w:t>
            </w:r>
          </w:p>
        </w:tc>
        <w:tc>
          <w:tcPr>
            <w:tcW w:type="dxa" w:w="2835"/>
            <w:shd w:val="clear" w:color="auto" w:fill="F4F5F6"/>
          </w:tcPr>
          <w:p>
            <w:pPr>
              <w:spacing w:after="0"/>
            </w:pPr>
            <w:r>
              <w:rPr>
                <w:b/>
                <w:i w:val="0"/>
                <w:color w:val="0F1115"/>
                <w:sz w:val="19"/>
              </w:rPr>
              <w:t>What signing means</w:t>
            </w:r>
          </w:p>
        </w:tc>
        <w:tc>
          <w:tcPr>
            <w:tcW w:type="dxa" w:w="1361"/>
            <w:shd w:val="clear" w:color="auto" w:fill="F4F5F6"/>
          </w:tcPr>
          <w:p>
            <w:pPr>
              <w:spacing w:after="0"/>
            </w:pPr>
            <w:r>
              <w:rPr>
                <w:b/>
                <w:i w:val="0"/>
                <w:color w:val="0F1115"/>
                <w:sz w:val="19"/>
              </w:rPr>
              <w:t>Signature</w:t>
            </w:r>
          </w:p>
        </w:tc>
        <w:tc>
          <w:tcPr>
            <w:tcW w:type="dxa" w:w="1077"/>
            <w:shd w:val="clear" w:color="auto" w:fill="F4F5F6"/>
          </w:tcPr>
          <w:p>
            <w:pPr>
              <w:spacing w:after="0"/>
            </w:pPr>
            <w:r>
              <w:rPr>
                <w:b/>
                <w:i w:val="0"/>
                <w:color w:val="0F1115"/>
                <w:sz w:val="19"/>
              </w:rPr>
              <w:t>Date</w:t>
            </w:r>
          </w:p>
        </w:tc>
        <w:tc>
          <w:tcPr>
            <w:tcW w:type="dxa" w:w="737"/>
            <w:shd w:val="clear" w:color="auto" w:fill="F4F5F6"/>
          </w:tcPr>
          <w:p>
            <w:pPr>
              <w:spacing w:after="0"/>
            </w:pPr>
            <w:r>
              <w:rPr>
                <w:b/>
                <w:i w:val="0"/>
                <w:color w:val="0F1115"/>
                <w:sz w:val="19"/>
              </w:rPr>
              <w:t>Version signed</w:t>
            </w:r>
          </w:p>
        </w:tc>
      </w:tr>
      <w:tr>
        <w:trPr>
          <w:cantSplit/>
        </w:trPr>
        <w:tc>
          <w:tcPr>
            <w:tcW w:type="dxa" w:w="1587"/>
          </w:tcPr>
          <w:p>
            <w:pPr>
              <w:spacing w:after="0"/>
            </w:pPr>
            <w:r>
              <w:rPr>
                <w:b w:val="0"/>
                <w:i w:val="0"/>
                <w:color w:val="0F1115"/>
                <w:sz w:val="19"/>
              </w:rPr>
              <w:t>Sponsor</w:t>
            </w:r>
          </w:p>
        </w:tc>
        <w:tc>
          <w:tcPr>
            <w:tcW w:type="dxa" w:w="2041"/>
          </w:tcPr>
          <w:p>
            <w:pPr>
              <w:spacing w:after="0"/>
            </w:pPr>
            <w:r>
              <w:rPr>
                <w:b w:val="0"/>
                <w:i w:val="0"/>
                <w:color w:val="0F1115"/>
                <w:sz w:val="19"/>
              </w:rPr>
              <w:t>Hugo (Program Manager)</w:t>
            </w:r>
          </w:p>
        </w:tc>
        <w:tc>
          <w:tcPr>
            <w:tcW w:type="dxa" w:w="2835"/>
          </w:tcPr>
          <w:p>
            <w:pPr>
              <w:spacing w:after="0"/>
            </w:pPr>
            <w:r>
              <w:rPr>
                <w:b w:val="0"/>
                <w:i w:val="0"/>
                <w:color w:val="0F1115"/>
                <w:sz w:val="19"/>
              </w:rPr>
              <w:t>I can stop this project, and I've read what it may spend.</w:t>
            </w:r>
          </w:p>
        </w:tc>
        <w:tc>
          <w:tcPr>
            <w:tcW w:type="dxa" w:w="1361"/>
          </w:tcPr>
          <w:p/>
        </w:tc>
        <w:tc>
          <w:tcPr>
            <w:tcW w:type="dxa" w:w="1077"/>
          </w:tcPr>
          <w:p/>
        </w:tc>
        <w:tc>
          <w:tcPr>
            <w:tcW w:type="dxa" w:w="737"/>
          </w:tcPr>
          <w:p/>
        </w:tc>
      </w:tr>
      <w:tr>
        <w:trPr>
          <w:cantSplit/>
        </w:trPr>
        <w:tc>
          <w:tcPr>
            <w:tcW w:type="dxa" w:w="1587"/>
          </w:tcPr>
          <w:p>
            <w:pPr>
              <w:spacing w:after="0"/>
            </w:pPr>
            <w:r>
              <w:rPr>
                <w:b w:val="0"/>
                <w:i w:val="0"/>
                <w:color w:val="0F1115"/>
                <w:sz w:val="19"/>
              </w:rPr>
              <w:t>Owner</w:t>
            </w:r>
          </w:p>
        </w:tc>
        <w:tc>
          <w:tcPr>
            <w:tcW w:type="dxa" w:w="2041"/>
          </w:tcPr>
          <w:p>
            <w:pPr>
              <w:spacing w:after="0"/>
            </w:pPr>
            <w:r>
              <w:rPr>
                <w:b w:val="0"/>
                <w:i w:val="0"/>
                <w:color w:val="0F1115"/>
                <w:sz w:val="19"/>
              </w:rPr>
              <w:t>Anders (Engineering Manager)</w:t>
            </w:r>
          </w:p>
        </w:tc>
        <w:tc>
          <w:tcPr>
            <w:tcW w:type="dxa" w:w="2835"/>
          </w:tcPr>
          <w:p>
            <w:pPr>
              <w:spacing w:after="0"/>
            </w:pPr>
            <w:r>
              <w:rPr>
                <w:b w:val="0"/>
                <w:i w:val="0"/>
                <w:color w:val="0F1115"/>
                <w:sz w:val="19"/>
              </w:rPr>
              <w:t>I'll run it as written, and ask before I go past the limits in Section 6.</w:t>
            </w:r>
          </w:p>
        </w:tc>
        <w:tc>
          <w:tcPr>
            <w:tcW w:type="dxa" w:w="1361"/>
          </w:tcPr>
          <w:p>
            <w:pPr>
              <w:spacing w:after="0"/>
            </w:pPr>
            <w:r>
              <w:rPr>
                <w:b w:val="0"/>
                <w:i w:val="0"/>
                <w:color w:val="0F1115"/>
                <w:sz w:val="19"/>
              </w:rPr>
              <w:t>Anders</w:t>
            </w:r>
          </w:p>
        </w:tc>
        <w:tc>
          <w:tcPr>
            <w:tcW w:type="dxa" w:w="1077"/>
          </w:tcPr>
          <w:p>
            <w:pPr>
              <w:spacing w:after="0"/>
            </w:pPr>
            <w:r>
              <w:rPr>
                <w:b w:val="0"/>
                <w:i w:val="0"/>
                <w:color w:val="0F1115"/>
                <w:sz w:val="19"/>
              </w:rPr>
              <w:t>22 Oct 2026</w:t>
            </w:r>
          </w:p>
        </w:tc>
        <w:tc>
          <w:tcPr>
            <w:tcW w:type="dxa" w:w="737"/>
          </w:tcPr>
          <w:p>
            <w:pPr>
              <w:spacing w:after="0"/>
            </w:pPr>
            <w:r>
              <w:rPr>
                <w:b w:val="0"/>
                <w:i w:val="0"/>
                <w:color w:val="0F1115"/>
                <w:sz w:val="19"/>
              </w:rPr>
              <w:t>v1</w:t>
            </w:r>
          </w:p>
        </w:tc>
      </w:tr>
      <w:tr>
        <w:trPr>
          <w:cantSplit/>
        </w:trPr>
        <w:tc>
          <w:tcPr>
            <w:tcW w:type="dxa" w:w="1587"/>
          </w:tcPr>
          <w:p>
            <w:pPr>
              <w:spacing w:after="0"/>
            </w:pPr>
            <w:r>
              <w:rPr>
                <w:b w:val="0"/>
                <w:i w:val="0"/>
                <w:color w:val="0F1115"/>
                <w:sz w:val="19"/>
              </w:rPr>
              <w:t>Program manager</w:t>
            </w:r>
          </w:p>
        </w:tc>
        <w:tc>
          <w:tcPr>
            <w:tcW w:type="dxa" w:w="2041"/>
          </w:tcPr>
          <w:p>
            <w:pPr>
              <w:spacing w:after="0"/>
            </w:pPr>
            <w:r>
              <w:rPr>
                <w:b w:val="0"/>
                <w:i w:val="0"/>
                <w:color w:val="0F1115"/>
                <w:sz w:val="19"/>
              </w:rPr>
              <w:t>Hugo (Program Manager), also signs as Sponsor</w:t>
            </w:r>
          </w:p>
        </w:tc>
        <w:tc>
          <w:tcPr>
            <w:tcW w:type="dxa" w:w="2835"/>
          </w:tcPr>
          <w:p>
            <w:pPr>
              <w:spacing w:after="0"/>
            </w:pPr>
            <w:r>
              <w:rPr>
                <w:b w:val="0"/>
                <w:i w:val="0"/>
                <w:color w:val="0F1115"/>
                <w:sz w:val="19"/>
              </w:rPr>
              <w:t>This project fits the program charter, edition 1.</w:t>
            </w:r>
          </w:p>
        </w:tc>
        <w:tc>
          <w:tcPr>
            <w:tcW w:type="dxa" w:w="1361"/>
          </w:tcPr>
          <w:p/>
        </w:tc>
        <w:tc>
          <w:tcPr>
            <w:tcW w:type="dxa" w:w="1077"/>
          </w:tcPr>
          <w:p/>
        </w:tc>
        <w:tc>
          <w:tcPr>
            <w:tcW w:type="dxa" w:w="737"/>
          </w:tcPr>
          <w:p/>
        </w:tc>
      </w:tr>
    </w:tbl>
    <w:p>
      <w:pPr>
        <w:keepNext w:val="0"/>
        <w:spacing w:after="80" w:before="80"/>
      </w:pPr>
      <w:r>
        <w:rPr>
          <w:b w:val="0"/>
          <w:i w:val="0"/>
          <w:color w:val="0F1115"/>
          <w:sz w:val="21"/>
        </w:rPr>
        <w:t>A signature applies to the version beside it. Any change Section 8 lists makes the next version, which everyone signs again. Charter status is Signed only when every row has a name, a signature, a date and the current version, and the Sponsor is the one on the program's Register row (directly under the portfolio, the portfolio director).</w:t>
      </w:r>
    </w:p>
    <w:p>
      <w:pPr>
        <w:pStyle w:val="Heading1"/>
      </w:pPr>
      <w:r>
        <w:rPr>
          <w:b/>
          <w:i w:val="0"/>
          <w:color w:val="0F1115"/>
          <w:sz w:val="26"/>
        </w:rPr>
        <w:t>Review questions</w:t>
      </w:r>
    </w:p>
    <w:p>
      <w:pPr>
        <w:keepNext w:val="0"/>
        <w:spacing w:after="80" w:before="0"/>
      </w:pPr>
      <w:r>
        <w:rPr>
          <w:b w:val="0"/>
          <w:i w:val="0"/>
          <w:color w:val="0F1115"/>
          <w:sz w:val="21"/>
        </w:rPr>
        <w:t>Before anyone signs, and after each change, someone who didn't write this charter asks these eight questions. Anything that isn't a yes goes back to the Owner before signing.</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454"/>
        <w:gridCol w:w="3515"/>
        <w:gridCol w:w="5669"/>
      </w:tblGrid>
      <w:tr>
        <w:trPr>
          <w:cantSplit/>
          <w:tblHeader/>
        </w:trPr>
        <w:tc>
          <w:tcPr>
            <w:tcW w:type="dxa" w:w="454"/>
            <w:shd w:val="clear" w:color="auto" w:fill="F4F5F6"/>
          </w:tcPr>
          <w:p>
            <w:pPr>
              <w:spacing w:after="0"/>
            </w:pPr>
            <w:r>
              <w:rPr>
                <w:b/>
                <w:i w:val="0"/>
                <w:color w:val="0F1115"/>
                <w:sz w:val="19"/>
              </w:rPr>
              <w:t>#</w:t>
            </w:r>
          </w:p>
        </w:tc>
        <w:tc>
          <w:tcPr>
            <w:tcW w:type="dxa" w:w="3515"/>
            <w:shd w:val="clear" w:color="auto" w:fill="F4F5F6"/>
          </w:tcPr>
          <w:p>
            <w:pPr>
              <w:spacing w:after="0"/>
            </w:pPr>
            <w:r>
              <w:rPr>
                <w:b/>
                <w:i w:val="0"/>
                <w:color w:val="0F1115"/>
                <w:sz w:val="19"/>
              </w:rPr>
              <w:t>Question</w:t>
            </w:r>
          </w:p>
        </w:tc>
        <w:tc>
          <w:tcPr>
            <w:tcW w:type="dxa" w:w="5669"/>
            <w:shd w:val="clear" w:color="auto" w:fill="F4F5F6"/>
          </w:tcPr>
          <w:p>
            <w:pPr>
              <w:spacing w:after="0"/>
            </w:pPr>
            <w:r>
              <w:rPr>
                <w:b/>
                <w:i w:val="0"/>
                <w:color w:val="0F1115"/>
                <w:sz w:val="19"/>
              </w:rPr>
              <w:t>Yes when</w:t>
            </w:r>
          </w:p>
        </w:tc>
      </w:tr>
      <w:tr>
        <w:trPr>
          <w:cantSplit/>
        </w:trPr>
        <w:tc>
          <w:tcPr>
            <w:tcW w:type="dxa" w:w="454"/>
          </w:tcPr>
          <w:p>
            <w:pPr>
              <w:spacing w:after="0"/>
            </w:pPr>
            <w:r>
              <w:rPr>
                <w:b w:val="0"/>
                <w:i w:val="0"/>
                <w:color w:val="0F1115"/>
                <w:sz w:val="19"/>
              </w:rPr>
              <w:t>1</w:t>
            </w:r>
          </w:p>
        </w:tc>
        <w:tc>
          <w:tcPr>
            <w:tcW w:type="dxa" w:w="3515"/>
          </w:tcPr>
          <w:p>
            <w:pPr>
              <w:spacing w:after="0"/>
            </w:pPr>
            <w:r>
              <w:rPr>
                <w:b/>
                <w:i w:val="0"/>
                <w:color w:val="0F1115"/>
                <w:sz w:val="19"/>
              </w:rPr>
              <w:t xml:space="preserve">Same names. </w:t>
            </w:r>
            <w:r>
              <w:rPr>
                <w:b w:val="0"/>
                <w:i w:val="0"/>
                <w:color w:val="0F1115"/>
                <w:sz w:val="19"/>
              </w:rPr>
              <w:t>Do the names match the Register and the program charter?</w:t>
            </w:r>
          </w:p>
        </w:tc>
        <w:tc>
          <w:tcPr>
            <w:tcW w:type="dxa" w:w="5669"/>
          </w:tcPr>
          <w:p>
            <w:pPr>
              <w:spacing w:after="0"/>
            </w:pPr>
            <w:r>
              <w:rPr>
                <w:b w:val="0"/>
                <w:i w:val="0"/>
                <w:color w:val="0F1115"/>
                <w:sz w:val="19"/>
              </w:rPr>
              <w:t>Name, Sits under, Approach, Objective, Owner, Status and Planned finish are the Register's, letter for letter. Each benefit in Section 1 is a benefit name in the program charter, and the Share is the program charter's line for this project.</w:t>
            </w:r>
          </w:p>
        </w:tc>
      </w:tr>
      <w:tr>
        <w:trPr>
          <w:cantSplit/>
        </w:trPr>
        <w:tc>
          <w:tcPr>
            <w:tcW w:type="dxa" w:w="454"/>
          </w:tcPr>
          <w:p>
            <w:pPr>
              <w:spacing w:after="0"/>
            </w:pPr>
            <w:r>
              <w:rPr>
                <w:b w:val="0"/>
                <w:i w:val="0"/>
                <w:color w:val="0F1115"/>
                <w:sz w:val="19"/>
              </w:rPr>
              <w:t>2</w:t>
            </w:r>
          </w:p>
        </w:tc>
        <w:tc>
          <w:tcPr>
            <w:tcW w:type="dxa" w:w="3515"/>
          </w:tcPr>
          <w:p>
            <w:pPr>
              <w:spacing w:after="0"/>
            </w:pPr>
            <w:r>
              <w:rPr>
                <w:b/>
                <w:i w:val="0"/>
                <w:color w:val="0F1115"/>
                <w:sz w:val="19"/>
              </w:rPr>
              <w:t xml:space="preserve">One reason. </w:t>
            </w:r>
            <w:r>
              <w:rPr>
                <w:b w:val="0"/>
                <w:i w:val="0"/>
                <w:color w:val="0F1115"/>
                <w:sz w:val="19"/>
              </w:rPr>
              <w:t>Does Section 1 say what changes, for whom, by when?</w:t>
            </w:r>
          </w:p>
        </w:tc>
        <w:tc>
          <w:tcPr>
            <w:tcW w:type="dxa" w:w="5669"/>
          </w:tcPr>
          <w:p>
            <w:pPr>
              <w:spacing w:after="0"/>
            </w:pPr>
            <w:r>
              <w:rPr>
                <w:b w:val="0"/>
                <w:i w:val="0"/>
                <w:color w:val="0F1115"/>
                <w:sz w:val="19"/>
              </w:rPr>
              <w:t>One sentence names the date, the people and the change. A benefit or the Objective is named in it or in Benefit it serves. Then ask: could this come true without anyone outside the project noticing? If it could, rewrite it.</w:t>
            </w:r>
          </w:p>
        </w:tc>
      </w:tr>
      <w:tr>
        <w:trPr>
          <w:cantSplit/>
        </w:trPr>
        <w:tc>
          <w:tcPr>
            <w:tcW w:type="dxa" w:w="454"/>
          </w:tcPr>
          <w:p>
            <w:pPr>
              <w:spacing w:after="0"/>
            </w:pPr>
            <w:r>
              <w:rPr>
                <w:b w:val="0"/>
                <w:i w:val="0"/>
                <w:color w:val="0F1115"/>
                <w:sz w:val="19"/>
              </w:rPr>
              <w:t>3</w:t>
            </w:r>
          </w:p>
        </w:tc>
        <w:tc>
          <w:tcPr>
            <w:tcW w:type="dxa" w:w="3515"/>
          </w:tcPr>
          <w:p>
            <w:pPr>
              <w:spacing w:after="0"/>
            </w:pPr>
            <w:r>
              <w:rPr>
                <w:b/>
                <w:i w:val="0"/>
                <w:color w:val="0F1115"/>
                <w:sz w:val="19"/>
              </w:rPr>
              <w:t xml:space="preserve">Where it stops. </w:t>
            </w:r>
            <w:r>
              <w:rPr>
                <w:b w:val="0"/>
                <w:i w:val="0"/>
                <w:color w:val="0F1115"/>
                <w:sz w:val="19"/>
              </w:rPr>
              <w:t>Is everything in Table A inside the project?</w:t>
            </w:r>
          </w:p>
        </w:tc>
        <w:tc>
          <w:tcPr>
            <w:tcW w:type="dxa" w:w="5669"/>
          </w:tcPr>
          <w:p>
            <w:pPr>
              <w:spacing w:after="0"/>
            </w:pPr>
            <w:r>
              <w:rPr>
                <w:b w:val="0"/>
                <w:i w:val="0"/>
                <w:color w:val="0F1115"/>
                <w:sz w:val="19"/>
              </w:rPr>
              <w:t>No deliverable is in Table B or in the program charter's Will not do. Table B has three rows or more, and each names a Register row, a team or Nobody.</w:t>
            </w:r>
          </w:p>
        </w:tc>
      </w:tr>
      <w:tr>
        <w:trPr>
          <w:cantSplit/>
        </w:trPr>
        <w:tc>
          <w:tcPr>
            <w:tcW w:type="dxa" w:w="454"/>
          </w:tcPr>
          <w:p>
            <w:pPr>
              <w:spacing w:after="0"/>
            </w:pPr>
            <w:r>
              <w:rPr>
                <w:b w:val="0"/>
                <w:i w:val="0"/>
                <w:color w:val="0F1115"/>
                <w:sz w:val="19"/>
              </w:rPr>
              <w:t>4</w:t>
            </w:r>
          </w:p>
        </w:tc>
        <w:tc>
          <w:tcPr>
            <w:tcW w:type="dxa" w:w="3515"/>
          </w:tcPr>
          <w:p>
            <w:pPr>
              <w:spacing w:after="0"/>
            </w:pPr>
            <w:r>
              <w:rPr>
                <w:b/>
                <w:i w:val="0"/>
                <w:color w:val="0F1115"/>
                <w:sz w:val="19"/>
              </w:rPr>
              <w:t xml:space="preserve">The money adds up. </w:t>
            </w:r>
            <w:r>
              <w:rPr>
                <w:b w:val="0"/>
                <w:i w:val="0"/>
                <w:color w:val="0F1115"/>
                <w:sz w:val="19"/>
              </w:rPr>
              <w:t>Do the lines add up to the Total, and the Total to the Share?</w:t>
            </w:r>
          </w:p>
        </w:tc>
        <w:tc>
          <w:tcPr>
            <w:tcW w:type="dxa" w:w="5669"/>
          </w:tcPr>
          <w:p>
            <w:pPr>
              <w:spacing w:after="0"/>
            </w:pPr>
            <w:r>
              <w:rPr>
                <w:b w:val="0"/>
                <w:i w:val="0"/>
                <w:color w:val="0F1115"/>
                <w:sz w:val="19"/>
              </w:rPr>
              <w:t>Table C adds up to the typed Total, and the Total equals the Share. Every line names an Id in Table A, and every Id has a line. The Register's Forecast spend is inside the cost tolerance of the Share; if it's blank, this part is Not read.</w:t>
            </w:r>
          </w:p>
        </w:tc>
      </w:tr>
      <w:tr>
        <w:trPr>
          <w:cantSplit/>
        </w:trPr>
        <w:tc>
          <w:tcPr>
            <w:tcW w:type="dxa" w:w="454"/>
          </w:tcPr>
          <w:p>
            <w:pPr>
              <w:spacing w:after="0"/>
            </w:pPr>
            <w:r>
              <w:rPr>
                <w:b w:val="0"/>
                <w:i w:val="0"/>
                <w:color w:val="0F1115"/>
                <w:sz w:val="19"/>
              </w:rPr>
              <w:t>5</w:t>
            </w:r>
          </w:p>
        </w:tc>
        <w:tc>
          <w:tcPr>
            <w:tcW w:type="dxa" w:w="3515"/>
          </w:tcPr>
          <w:p>
            <w:pPr>
              <w:spacing w:after="0"/>
            </w:pPr>
            <w:r>
              <w:rPr>
                <w:b/>
                <w:i w:val="0"/>
                <w:color w:val="0F1115"/>
                <w:sz w:val="19"/>
              </w:rPr>
              <w:t xml:space="preserve">What keeps costing. </w:t>
            </w:r>
            <w:r>
              <w:rPr>
                <w:b w:val="0"/>
                <w:i w:val="0"/>
                <w:color w:val="0F1115"/>
                <w:sz w:val="19"/>
              </w:rPr>
              <w:t>Does Table D say what keeps costing after cutover?</w:t>
            </w:r>
          </w:p>
        </w:tc>
        <w:tc>
          <w:tcPr>
            <w:tcW w:type="dxa" w:w="5669"/>
          </w:tcPr>
          <w:p>
            <w:pPr>
              <w:spacing w:after="0"/>
            </w:pPr>
            <w:r>
              <w:rPr>
                <w:b w:val="0"/>
                <w:i w:val="0"/>
                <w:color w:val="0F1115"/>
                <w:sz w:val="19"/>
              </w:rPr>
              <w:t>Table D lists each cost that goes on after cutover, with its amount and who pays, or says Nothing and why. A cost named anywhere else in the charter is in Table D too.</w:t>
            </w:r>
          </w:p>
        </w:tc>
      </w:tr>
      <w:tr>
        <w:trPr>
          <w:cantSplit/>
        </w:trPr>
        <w:tc>
          <w:tcPr>
            <w:tcW w:type="dxa" w:w="454"/>
          </w:tcPr>
          <w:p>
            <w:pPr>
              <w:spacing w:after="0"/>
            </w:pPr>
            <w:r>
              <w:rPr>
                <w:b w:val="0"/>
                <w:i w:val="0"/>
                <w:color w:val="0F1115"/>
                <w:sz w:val="19"/>
              </w:rPr>
              <w:t>6</w:t>
            </w:r>
          </w:p>
        </w:tc>
        <w:tc>
          <w:tcPr>
            <w:tcW w:type="dxa" w:w="3515"/>
          </w:tcPr>
          <w:p>
            <w:pPr>
              <w:spacing w:after="0"/>
            </w:pPr>
            <w:r>
              <w:rPr>
                <w:b/>
                <w:i w:val="0"/>
                <w:color w:val="0F1115"/>
                <w:sz w:val="19"/>
              </w:rPr>
              <w:t xml:space="preserve">Named people. </w:t>
            </w:r>
            <w:r>
              <w:rPr>
                <w:b w:val="0"/>
                <w:i w:val="0"/>
                <w:color w:val="0F1115"/>
                <w:sz w:val="19"/>
              </w:rPr>
              <w:t>Is everyone in Table F one named person?</w:t>
            </w:r>
          </w:p>
        </w:tc>
        <w:tc>
          <w:tcPr>
            <w:tcW w:type="dxa" w:w="5669"/>
          </w:tcPr>
          <w:p>
            <w:pPr>
              <w:spacing w:after="0"/>
            </w:pPr>
            <w:r>
              <w:rPr>
                <w:b w:val="0"/>
                <w:i w:val="0"/>
                <w:color w:val="0F1115"/>
                <w:sz w:val="19"/>
              </w:rPr>
              <w:t>Each row is one person, Outside team, or Open: and a role. An Open row's Filled by has a name and a date no later than From. From and To are Mondays, no To is after the Planned finish, and days a week are 0 to 7. Someone on the team stays through cutover and after.</w:t>
            </w:r>
          </w:p>
        </w:tc>
      </w:tr>
      <w:tr>
        <w:trPr>
          <w:cantSplit/>
        </w:trPr>
        <w:tc>
          <w:tcPr>
            <w:tcW w:type="dxa" w:w="454"/>
          </w:tcPr>
          <w:p>
            <w:pPr>
              <w:spacing w:after="0"/>
            </w:pPr>
            <w:r>
              <w:rPr>
                <w:b w:val="0"/>
                <w:i w:val="0"/>
                <w:color w:val="0F1115"/>
                <w:sz w:val="19"/>
              </w:rPr>
              <w:t>7</w:t>
            </w:r>
          </w:p>
        </w:tc>
        <w:tc>
          <w:tcPr>
            <w:tcW w:type="dxa" w:w="3515"/>
          </w:tcPr>
          <w:p>
            <w:pPr>
              <w:spacing w:after="0"/>
            </w:pPr>
            <w:r>
              <w:rPr>
                <w:b/>
                <w:i w:val="0"/>
                <w:color w:val="0F1115"/>
                <w:sz w:val="19"/>
              </w:rPr>
              <w:t xml:space="preserve">Someone can say no. </w:t>
            </w:r>
            <w:r>
              <w:rPr>
                <w:b w:val="0"/>
                <w:i w:val="0"/>
                <w:color w:val="0F1115"/>
                <w:sz w:val="19"/>
              </w:rPr>
              <w:t>Is there a sponsor who can stop it, and has everyone signed?</w:t>
            </w:r>
          </w:p>
        </w:tc>
        <w:tc>
          <w:tcPr>
            <w:tcW w:type="dxa" w:w="5669"/>
          </w:tcPr>
          <w:p>
            <w:pPr>
              <w:spacing w:after="0"/>
            </w:pPr>
            <w:r>
              <w:rPr>
                <w:b w:val="0"/>
                <w:i w:val="0"/>
                <w:color w:val="0F1115"/>
                <w:sz w:val="19"/>
              </w:rPr>
              <w:t>The Sponsor is the one on the program's Register row, and isn't the Owner (directly under the portfolio, the portfolio director, marked as standing in). Everyone in Takes it over, and anyone lending people or money, has a row in Table J. Charter status is Signed only when Table J is complete. A blank program sponsor keeps the charter a Draft, and with the gate map, a charter still unsigned after Plan baselined is reported.</w:t>
            </w:r>
          </w:p>
        </w:tc>
      </w:tr>
      <w:tr>
        <w:trPr>
          <w:cantSplit/>
        </w:trPr>
        <w:tc>
          <w:tcPr>
            <w:tcW w:type="dxa" w:w="454"/>
          </w:tcPr>
          <w:p>
            <w:pPr>
              <w:spacing w:after="0"/>
            </w:pPr>
            <w:r>
              <w:rPr>
                <w:b w:val="0"/>
                <w:i w:val="0"/>
                <w:color w:val="0F1115"/>
                <w:sz w:val="19"/>
              </w:rPr>
              <w:t>8</w:t>
            </w:r>
          </w:p>
        </w:tc>
        <w:tc>
          <w:tcPr>
            <w:tcW w:type="dxa" w:w="3515"/>
          </w:tcPr>
          <w:p>
            <w:pPr>
              <w:spacing w:after="0"/>
            </w:pPr>
            <w:r>
              <w:rPr>
                <w:b/>
                <w:i w:val="0"/>
                <w:color w:val="0F1115"/>
                <w:sz w:val="19"/>
              </w:rPr>
              <w:t xml:space="preserve">The dates agree. </w:t>
            </w:r>
            <w:r>
              <w:rPr>
                <w:b w:val="0"/>
                <w:i w:val="0"/>
                <w:color w:val="0F1115"/>
                <w:sz w:val="19"/>
              </w:rPr>
              <w:t>Do the dates agree with each other and with the Register?</w:t>
            </w:r>
          </w:p>
        </w:tc>
        <w:tc>
          <w:tcPr>
            <w:tcW w:type="dxa" w:w="5669"/>
          </w:tcPr>
          <w:p>
            <w:pPr>
              <w:spacing w:after="0"/>
            </w:pPr>
            <w:r>
              <w:rPr>
                <w:b w:val="0"/>
                <w:i w:val="0"/>
                <w:color w:val="0F1115"/>
                <w:sz w:val="19"/>
              </w:rPr>
              <w:t>Table E is in date order, with Close last and on the Planned finish, which is the Register's. Go/no-go comes before Close. Each Needed by in Table H falls before the gate in its Feeds, and each Look again on in Table G is a weekday before the Planned finish.</w:t>
            </w:r>
          </w:p>
        </w:tc>
      </w:tr>
    </w:tbl>
    <w:p>
      <w:r>
        <w:br w:type="page"/>
      </w:r>
    </w:p>
    <w:p>
      <w:pPr>
        <w:pStyle w:val="Heading1"/>
      </w:pPr>
      <w:r>
        <w:rPr>
          <w:b/>
          <w:i w:val="0"/>
          <w:color w:val="0F1115"/>
          <w:sz w:val="26"/>
        </w:rPr>
        <w:t>About this Example</w:t>
      </w:r>
    </w:p>
    <w:p>
      <w:pPr>
        <w:keepNext w:val="0"/>
        <w:spacing w:after="80" w:before="0"/>
      </w:pPr>
      <w:r>
        <w:rPr>
          <w:b w:val="0"/>
          <w:i w:val="0"/>
          <w:color w:val="0F1115"/>
          <w:sz w:val="21"/>
        </w:rPr>
        <w:t>Hollins Software is a made-up software company. Everyone in it is made up too.</w:t>
      </w:r>
    </w:p>
    <w:p>
      <w:pPr>
        <w:keepNext w:val="0"/>
        <w:spacing w:after="80" w:before="0"/>
      </w:pPr>
      <w:r>
        <w:rPr>
          <w:b w:val="0"/>
          <w:i w:val="0"/>
          <w:color w:val="0F1115"/>
          <w:sz w:val="21"/>
        </w:rPr>
        <w:t>This is the charter for Billing Engine Rewrite, as of 22 Oct 2026. The project started on 12 Mar 2026, and the charter was written late and is still waiting to be signed.</w:t>
      </w:r>
    </w:p>
    <w:p>
      <w:pPr>
        <w:keepNext w:val="0"/>
        <w:spacing w:after="80" w:before="0"/>
      </w:pPr>
      <w:r>
        <w:rPr>
          <w:b/>
          <w:i w:val="0"/>
          <w:color w:val="0F1115"/>
          <w:sz w:val="21"/>
        </w:rPr>
        <w:t>It fails questions 1, 3, 5, 6 and 7 on purpose, and passes 2, 4 and 8.</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268"/>
        <w:gridCol w:w="7370"/>
      </w:tblGrid>
      <w:tr>
        <w:trPr>
          <w:cantSplit/>
        </w:trPr>
        <w:tc>
          <w:tcPr>
            <w:tcW w:type="dxa" w:w="2268"/>
          </w:tcPr>
          <w:p>
            <w:pPr>
              <w:spacing w:after="0"/>
            </w:pPr>
            <w:r>
              <w:rPr>
                <w:b/>
                <w:i w:val="0"/>
                <w:color w:val="0F1115"/>
                <w:sz w:val="19"/>
              </w:rPr>
              <w:t>1 Same names</w:t>
            </w:r>
          </w:p>
        </w:tc>
        <w:tc>
          <w:tcPr>
            <w:tcW w:type="dxa" w:w="7370"/>
          </w:tcPr>
          <w:p>
            <w:pPr>
              <w:spacing w:after="0"/>
            </w:pPr>
            <w:r>
              <w:rPr>
                <w:b w:val="0"/>
                <w:i w:val="0"/>
                <w:color w:val="0F1115"/>
                <w:sz w:val="19"/>
              </w:rPr>
              <w:t>Section 1 names Cheaper billing, which isn't a benefit in the program charter. The program charter calls it Cheaper to run billing.</w:t>
            </w:r>
          </w:p>
        </w:tc>
      </w:tr>
      <w:tr>
        <w:trPr>
          <w:cantSplit/>
        </w:trPr>
        <w:tc>
          <w:tcPr>
            <w:tcW w:type="dxa" w:w="2268"/>
          </w:tcPr>
          <w:p>
            <w:pPr>
              <w:spacing w:after="0"/>
            </w:pPr>
            <w:r>
              <w:rPr>
                <w:b/>
                <w:i w:val="0"/>
                <w:color w:val="0F1115"/>
                <w:sz w:val="19"/>
              </w:rPr>
              <w:t>3 Where it stops</w:t>
            </w:r>
          </w:p>
        </w:tc>
        <w:tc>
          <w:tcPr>
            <w:tcW w:type="dxa" w:w="7370"/>
          </w:tcPr>
          <w:p>
            <w:pPr>
              <w:spacing w:after="0"/>
            </w:pPr>
            <w:r>
              <w:rPr>
                <w:b w:val="0"/>
                <w:i w:val="0"/>
                <w:color w:val="0F1115"/>
                <w:sz w:val="19"/>
              </w:rPr>
              <w:t>D3, Customer billing history migrated into the new engine, is also in Table B as Migrate customer data, which Data Migration Wave 2 has. The program charter says the program won't do it either.</w:t>
            </w:r>
          </w:p>
        </w:tc>
      </w:tr>
      <w:tr>
        <w:trPr>
          <w:cantSplit/>
        </w:trPr>
        <w:tc>
          <w:tcPr>
            <w:tcW w:type="dxa" w:w="2268"/>
          </w:tcPr>
          <w:p>
            <w:pPr>
              <w:spacing w:after="0"/>
            </w:pPr>
            <w:r>
              <w:rPr>
                <w:b/>
                <w:i w:val="0"/>
                <w:color w:val="0F1115"/>
                <w:sz w:val="19"/>
              </w:rPr>
              <w:t>5 What keeps costing</w:t>
            </w:r>
          </w:p>
        </w:tc>
        <w:tc>
          <w:tcPr>
            <w:tcW w:type="dxa" w:w="7370"/>
          </w:tcPr>
          <w:p>
            <w:pPr>
              <w:spacing w:after="0"/>
            </w:pPr>
            <w:r>
              <w:rPr>
                <w:b w:val="0"/>
                <w:i w:val="0"/>
                <w:color w:val="0F1115"/>
                <w:sz w:val="19"/>
              </w:rPr>
              <w:t>Table D is empty, and Table G says the new engine's running cost, 140,000 a year, is in no budget line.</w:t>
            </w:r>
          </w:p>
        </w:tc>
      </w:tr>
      <w:tr>
        <w:trPr>
          <w:cantSplit/>
        </w:trPr>
        <w:tc>
          <w:tcPr>
            <w:tcW w:type="dxa" w:w="2268"/>
          </w:tcPr>
          <w:p>
            <w:pPr>
              <w:spacing w:after="0"/>
            </w:pPr>
            <w:r>
              <w:rPr>
                <w:b/>
                <w:i w:val="0"/>
                <w:color w:val="0F1115"/>
                <w:sz w:val="19"/>
              </w:rPr>
              <w:t>6 Named people</w:t>
            </w:r>
          </w:p>
        </w:tc>
        <w:tc>
          <w:tcPr>
            <w:tcW w:type="dxa" w:w="7370"/>
          </w:tcPr>
          <w:p>
            <w:pPr>
              <w:spacing w:after="0"/>
            </w:pPr>
            <w:r>
              <w:rPr>
                <w:b w:val="0"/>
                <w:i w:val="0"/>
                <w:color w:val="0F1115"/>
                <w:sz w:val="19"/>
              </w:rPr>
              <w:t>Backend engineers is one row for three people, at 15 days a week.</w:t>
            </w:r>
          </w:p>
        </w:tc>
      </w:tr>
      <w:tr>
        <w:trPr>
          <w:cantSplit/>
        </w:trPr>
        <w:tc>
          <w:tcPr>
            <w:tcW w:type="dxa" w:w="2268"/>
          </w:tcPr>
          <w:p>
            <w:pPr>
              <w:spacing w:after="0"/>
            </w:pPr>
            <w:r>
              <w:rPr>
                <w:b/>
                <w:i w:val="0"/>
                <w:color w:val="0F1115"/>
                <w:sz w:val="19"/>
              </w:rPr>
              <w:t>7 Someone can say no</w:t>
            </w:r>
          </w:p>
        </w:tc>
        <w:tc>
          <w:tcPr>
            <w:tcW w:type="dxa" w:w="7370"/>
          </w:tcPr>
          <w:p>
            <w:pPr>
              <w:spacing w:after="0"/>
            </w:pPr>
            <w:r>
              <w:rPr>
                <w:b w:val="0"/>
                <w:i w:val="0"/>
                <w:color w:val="0F1115"/>
                <w:sz w:val="19"/>
              </w:rPr>
              <w:t>The Sponsor is Hugo (Program Manager), but the program's Register row has no sponsor. Rhys and Noor take it over and have no row in Table J. Plan baselined passed on 12 Jun 2026, and the charter isn't signed.</w:t>
            </w:r>
          </w:p>
        </w:tc>
      </w:tr>
    </w:tbl>
    <w:p>
      <w:pPr>
        <w:keepNext w:val="0"/>
        <w:spacing w:after="80" w:before="120"/>
      </w:pPr>
      <w:r>
        <w:rPr>
          <w:b w:val="0"/>
          <w:i w:val="0"/>
          <w:color w:val="0F1115"/>
          <w:sz w:val="21"/>
        </w:rPr>
        <w:t>Table C's five lines add up to 780,000, the same as the Total, the Share and the Register's Forecast spend.</w:t>
      </w:r>
    </w:p>
    <w:p>
      <w:pPr>
        <w:keepNext w:val="0"/>
        <w:spacing w:after="80" w:before="0"/>
      </w:pPr>
      <w:r>
        <w:rPr>
          <w:b w:val="0"/>
          <w:i w:val="0"/>
          <w:color w:val="0F1115"/>
          <w:sz w:val="21"/>
        </w:rPr>
        <w:t>Hugo in the Sponsor box is this file's planted failure. Every other Hollins file shows the post as Not yet named, and Priya (CTO) stands in at Go/no-go.</w:t>
      </w:r>
    </w:p>
    <w:p>
      <w:pPr>
        <w:pStyle w:val="Heading2"/>
      </w:pPr>
      <w:r>
        <w:rPr>
          <w:b/>
          <w:i w:val="0"/>
          <w:color w:val="0F1115"/>
          <w:sz w:val="22"/>
        </w:rPr>
        <w:t>Before you start</w:t>
      </w:r>
    </w:p>
    <w:p>
      <w:pPr>
        <w:keepNext w:val="0"/>
        <w:spacing w:after="60" w:before="0"/>
      </w:pPr>
      <w:r>
        <w:rPr>
          <w:b w:val="0"/>
          <w:i w:val="0"/>
          <w:color w:val="5F6670"/>
          <w:sz w:val="21"/>
        </w:rPr>
        <w:t>A project charter says what one project is for, what it delivers and where it stops, what it may spend, who works on it and who can stop it. The people in Section 9 sign it, and after that it changes only through Section 8.</w:t>
      </w:r>
    </w:p>
    <w:p>
      <w:pPr>
        <w:keepNext w:val="0"/>
        <w:spacing w:after="60" w:before="0"/>
      </w:pPr>
      <w:r>
        <w:rPr>
          <w:b w:val="0"/>
          <w:i w:val="0"/>
          <w:color w:val="5F6670"/>
          <w:sz w:val="21"/>
        </w:rPr>
        <w:t>Name, Sits under, Approach, Objective, Owner, Status and Planned finish are copied from the project's row on the Register, letter for letter, so every file can find the project by its name. The Sponsor is copied from the program's row. Share of the envelope and Program charter edition are copied from the program charter. If the project is renamed on the Register, change its name at the top of every project file to match.</w:t>
      </w:r>
    </w:p>
    <w:p>
      <w:pPr>
        <w:keepNext w:val="0"/>
        <w:spacing w:after="60" w:before="0"/>
      </w:pPr>
      <w:r>
        <w:rPr>
          <w:b w:val="0"/>
          <w:i w:val="0"/>
          <w:color w:val="5F6670"/>
          <w:sz w:val="21"/>
        </w:rPr>
        <w:t>Dates in Section 5 are as at this version; the gate map keeps the live ones. The team in Section 6 is copied once into Capacity, which keeps the live bookings from then on.</w:t>
      </w:r>
    </w:p>
    <w:p>
      <w:pPr>
        <w:keepNext w:val="0"/>
        <w:spacing w:after="60" w:before="0"/>
      </w:pPr>
      <w:r>
        <w:rPr>
          <w:b w:val="0"/>
          <w:i w:val="0"/>
          <w:color w:val="5F6670"/>
          <w:sz w:val="21"/>
        </w:rPr>
        <w:t>Before anyone signs, someone who didn't write the charter asks the eight review questions after Section 9.</w:t>
      </w:r>
    </w:p>
    <w:p>
      <w:pPr>
        <w:keepNext w:val="0"/>
        <w:spacing w:after="60" w:before="0"/>
      </w:pPr>
      <w:r>
        <w:rPr>
          <w:b w:val="0"/>
          <w:i w:val="0"/>
          <w:color w:val="5F6670"/>
          <w:sz w:val="21"/>
        </w:rPr>
        <w:t>An assistant can check it for you. The brief is in frqz-project-charter-agent-brief.txt, beside this file.</w:t>
      </w:r>
    </w:p>
    <w:p>
      <w:pPr>
        <w:keepNext w:val="0"/>
        <w:spacing w:after="60" w:before="0"/>
      </w:pPr>
      <w:r>
        <w:rPr>
          <w:b w:val="0"/>
          <w:i w:val="0"/>
          <w:color w:val="5F6670"/>
          <w:sz w:val="21"/>
        </w:rPr>
        <w:t>To use your own logo, right-click the FRQZ logo at the top right and choose Change Picture. In Google Docs, choose Replace image.</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s="Arial" w:eastAsia="Arial"/>
      <w:color w:val="0F1115"/>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cstheme="majorBidi" w:ascii="Arial" w:hAnsi="Arial" w:cs="Arial" w:eastAsia="Arial"/>
      <w:b/>
      <w:bCs/>
      <w:color w:val="0F1115"/>
      <w:sz w:val="26"/>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cstheme="majorBidi" w:ascii="Arial" w:hAnsi="Arial" w:cs="Arial" w:eastAsia="Arial"/>
      <w:b/>
      <w:bCs/>
      <w:color w:val="0F111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20"/>
      <w:contextualSpacing/>
    </w:pPr>
    <w:rPr>
      <w:rFonts w:cstheme="majorBidi" w:ascii="Arial" w:hAnsi="Arial" w:cs="Arial" w:eastAsia="Arial"/>
      <w:b/>
      <w:color w:val="0F1115"/>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charter (Example)</dc:title>
  <dc:subject/>
  <dc:creator>FRQZ</dc:creator>
  <cp:keywords/>
  <dc:description/>
  <cp:lastModifiedBy>FRQZ</cp:lastModifiedBy>
  <cp:revision>1</cp:revision>
  <dcterms:created xsi:type="dcterms:W3CDTF">2013-12-23T23:15:00Z</dcterms:created>
  <dcterms:modified xsi:type="dcterms:W3CDTF">2013-12-23T23:15:00Z</dcterms:modified>
  <cp:category/>
</cp:coreProperties>
</file>