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right"/>
        <w:tblBorders>
          <w:top w:val="nil"/>
          <w:left w:val="nil"/>
          <w:bottom w:val="nil"/>
          <w:right w:val="nil"/>
          <w:insideH w:val="nil"/>
          <w:insideV w:val="nil"/>
        </w:tblBorders>
        <w:tblLayout w:type="fixed"/>
        <w:tblLook w:firstColumn="1" w:firstRow="1" w:lastColumn="0" w:lastRow="0" w:noHBand="0" w:noVBand="1" w:val="04A0"/>
      </w:tblPr>
      <w:tblGrid>
        <w:gridCol w:w="2041"/>
      </w:tblGrid>
      <w:tr>
        <w:trPr>
          <w:cantSplit/>
        </w:trPr>
        <w:tc>
          <w:tcPr>
            <w:tcW w:type="dxa" w:w="2041"/>
          </w:tcPr>
          <w:p>
            <w:pPr>
              <w:spacing w:after="0"/>
              <w:jc w:val="right"/>
            </w:pPr>
            <w:r>
              <w:drawing>
                <wp:inline xmlns:a="http://schemas.openxmlformats.org/drawingml/2006/main" xmlns:pic="http://schemas.openxmlformats.org/drawingml/2006/picture">
                  <wp:extent cx="1080000" cy="265846"/>
                  <wp:docPr id="1" name="Picture 1" descr="FRQZ logo" title="FRQZ logo"/>
                  <wp:cNvGraphicFramePr>
                    <a:graphicFrameLocks noChangeAspect="1"/>
                  </wp:cNvGraphicFramePr>
                  <a:graphic>
                    <a:graphicData uri="http://schemas.openxmlformats.org/drawingml/2006/picture">
                      <pic:pic>
                        <pic:nvPicPr>
                          <pic:cNvPr id="0" name="frqz-lockup.png"/>
                          <pic:cNvPicPr/>
                        </pic:nvPicPr>
                        <pic:blipFill>
                          <a:blip r:embed="rId9"/>
                          <a:stretch>
                            <a:fillRect/>
                          </a:stretch>
                        </pic:blipFill>
                        <pic:spPr>
                          <a:xfrm>
                            <a:off x="0" y="0"/>
                            <a:ext cx="1080000" cy="265846"/>
                          </a:xfrm>
                          <a:prstGeom prst="rect"/>
                        </pic:spPr>
                      </pic:pic>
                    </a:graphicData>
                  </a:graphic>
                </wp:inline>
              </w:drawing>
            </w:r>
          </w:p>
        </w:tc>
      </w:tr>
    </w:tbl>
    <w:p>
      <w:pPr>
        <w:keepNext w:val="0"/>
        <w:shd w:val="clear" w:color="auto" w:fill="ECEEF0"/>
        <w:spacing w:after="120" w:before="120"/>
      </w:pPr>
      <w:r>
        <w:rPr>
          <w:b/>
          <w:i w:val="0"/>
          <w:color w:val="0F1115"/>
          <w:sz w:val="21"/>
        </w:rPr>
        <w:t>Example. Hollins Software and everyone in it are made up. Billing Engine Rewrite, week ending Thu 22 Oct 2026. About this Example, at the back, says which review questions it fails on purpose.</w:t>
      </w:r>
    </w:p>
    <w:p>
      <w:pPr>
        <w:pStyle w:val="Title"/>
        <w:spacing w:after="40"/>
      </w:pPr>
      <w:r>
        <w:rPr>
          <w:b/>
          <w:i w:val="0"/>
          <w:color w:val="0F1115"/>
          <w:sz w:val="40"/>
        </w:rPr>
        <w:t>Status report</w:t>
      </w:r>
    </w:p>
    <w:p>
      <w:pPr>
        <w:keepNext w:val="0"/>
        <w:spacing w:after="200" w:before="0"/>
      </w:pPr>
      <w:r>
        <w:rPr>
          <w:b w:val="0"/>
          <w:i w:val="0"/>
          <w:color w:val="0F1115"/>
          <w:sz w:val="28"/>
        </w:rPr>
        <w:t>Billing Engine Rewrite</w:t>
      </w: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2268"/>
        <w:gridCol w:w="7370"/>
      </w:tblGrid>
      <w:tr>
        <w:trPr>
          <w:cantSplit/>
        </w:trPr>
        <w:tc>
          <w:tcPr>
            <w:tcW w:type="dxa" w:w="2268"/>
          </w:tcPr>
          <w:p>
            <w:pPr>
              <w:spacing w:after="0"/>
            </w:pPr>
            <w:r>
              <w:rPr>
                <w:b/>
                <w:i w:val="0"/>
                <w:color w:val="0F1115"/>
                <w:sz w:val="21"/>
              </w:rPr>
              <w:t>Name</w:t>
            </w:r>
          </w:p>
        </w:tc>
        <w:tc>
          <w:tcPr>
            <w:tcW w:type="dxa" w:w="7370"/>
          </w:tcPr>
          <w:p>
            <w:pPr>
              <w:spacing w:after="0"/>
            </w:pPr>
            <w:r>
              <w:rPr>
                <w:b w:val="0"/>
                <w:i w:val="0"/>
                <w:color w:val="0F1115"/>
                <w:sz w:val="21"/>
              </w:rPr>
              <w:t>Billing Engine Rewrite</w:t>
            </w:r>
          </w:p>
        </w:tc>
      </w:tr>
      <w:tr>
        <w:trPr>
          <w:cantSplit/>
        </w:trPr>
        <w:tc>
          <w:tcPr>
            <w:tcW w:type="dxa" w:w="2268"/>
          </w:tcPr>
          <w:p>
            <w:pPr>
              <w:spacing w:after="0"/>
            </w:pPr>
            <w:r>
              <w:rPr>
                <w:b/>
                <w:i w:val="0"/>
                <w:color w:val="0F1115"/>
                <w:sz w:val="21"/>
              </w:rPr>
              <w:t>Sits under</w:t>
            </w:r>
          </w:p>
        </w:tc>
        <w:tc>
          <w:tcPr>
            <w:tcW w:type="dxa" w:w="7370"/>
          </w:tcPr>
          <w:p>
            <w:pPr>
              <w:spacing w:after="0"/>
            </w:pPr>
            <w:r>
              <w:rPr>
                <w:b w:val="0"/>
                <w:i w:val="0"/>
                <w:color w:val="0F1115"/>
                <w:sz w:val="21"/>
              </w:rPr>
              <w:t>Billing and Payments Program</w:t>
            </w:r>
          </w:p>
        </w:tc>
      </w:tr>
      <w:tr>
        <w:trPr>
          <w:cantSplit/>
        </w:trPr>
        <w:tc>
          <w:tcPr>
            <w:tcW w:type="dxa" w:w="2268"/>
          </w:tcPr>
          <w:p>
            <w:pPr>
              <w:spacing w:after="0"/>
            </w:pPr>
            <w:r>
              <w:rPr>
                <w:b/>
                <w:i w:val="0"/>
                <w:color w:val="0F1115"/>
                <w:sz w:val="21"/>
              </w:rPr>
              <w:t>Owner</w:t>
            </w:r>
          </w:p>
        </w:tc>
        <w:tc>
          <w:tcPr>
            <w:tcW w:type="dxa" w:w="7370"/>
          </w:tcPr>
          <w:p>
            <w:pPr>
              <w:spacing w:after="0"/>
            </w:pPr>
            <w:r>
              <w:rPr>
                <w:b w:val="0"/>
                <w:i w:val="0"/>
                <w:color w:val="0F1115"/>
                <w:sz w:val="21"/>
              </w:rPr>
              <w:t>Anders (Engineering Manager)</w:t>
            </w:r>
          </w:p>
        </w:tc>
      </w:tr>
      <w:tr>
        <w:trPr>
          <w:cantSplit/>
        </w:trPr>
        <w:tc>
          <w:tcPr>
            <w:tcW w:type="dxa" w:w="2268"/>
          </w:tcPr>
          <w:p>
            <w:pPr>
              <w:spacing w:after="0"/>
            </w:pPr>
            <w:r>
              <w:rPr>
                <w:b/>
                <w:i w:val="0"/>
                <w:color w:val="0F1115"/>
                <w:sz w:val="21"/>
              </w:rPr>
              <w:t>Sponsor</w:t>
            </w:r>
          </w:p>
        </w:tc>
        <w:tc>
          <w:tcPr>
            <w:tcW w:type="dxa" w:w="7370"/>
          </w:tcPr>
          <w:p>
            <w:pPr>
              <w:spacing w:after="0"/>
            </w:pPr>
            <w:r>
              <w:rPr>
                <w:b w:val="0"/>
                <w:i w:val="0"/>
                <w:color w:val="0F1115"/>
                <w:sz w:val="21"/>
              </w:rPr>
              <w:t>Not yet named</w:t>
            </w:r>
          </w:p>
        </w:tc>
      </w:tr>
      <w:tr>
        <w:trPr>
          <w:cantSplit/>
        </w:trPr>
        <w:tc>
          <w:tcPr>
            <w:tcW w:type="dxa" w:w="2268"/>
          </w:tcPr>
          <w:p>
            <w:pPr>
              <w:spacing w:after="0"/>
            </w:pPr>
            <w:r>
              <w:rPr>
                <w:b/>
                <w:i w:val="0"/>
                <w:color w:val="0F1115"/>
                <w:sz w:val="21"/>
              </w:rPr>
              <w:t>Reader</w:t>
            </w:r>
          </w:p>
        </w:tc>
        <w:tc>
          <w:tcPr>
            <w:tcW w:type="dxa" w:w="7370"/>
          </w:tcPr>
          <w:p>
            <w:pPr>
              <w:spacing w:after="0"/>
            </w:pPr>
            <w:r>
              <w:rPr>
                <w:b w:val="0"/>
                <w:i w:val="0"/>
                <w:color w:val="0F1115"/>
                <w:sz w:val="21"/>
              </w:rPr>
              <w:t>Hugo (Program Manager)</w:t>
            </w:r>
          </w:p>
        </w:tc>
      </w:tr>
      <w:tr>
        <w:trPr>
          <w:cantSplit/>
        </w:trPr>
        <w:tc>
          <w:tcPr>
            <w:tcW w:type="dxa" w:w="2268"/>
          </w:tcPr>
          <w:p>
            <w:pPr>
              <w:spacing w:after="0"/>
            </w:pPr>
            <w:r>
              <w:rPr>
                <w:b/>
                <w:i w:val="0"/>
                <w:color w:val="0F1115"/>
                <w:sz w:val="21"/>
              </w:rPr>
              <w:t>Week ending</w:t>
            </w:r>
          </w:p>
        </w:tc>
        <w:tc>
          <w:tcPr>
            <w:tcW w:type="dxa" w:w="7370"/>
          </w:tcPr>
          <w:p>
            <w:pPr>
              <w:spacing w:after="0"/>
            </w:pPr>
            <w:r>
              <w:rPr>
                <w:b w:val="0"/>
                <w:i w:val="0"/>
                <w:color w:val="0F1115"/>
                <w:sz w:val="21"/>
              </w:rPr>
              <w:t>Thu 22 Oct 2026</w:t>
            </w:r>
          </w:p>
        </w:tc>
      </w:tr>
      <w:tr>
        <w:trPr>
          <w:cantSplit/>
        </w:trPr>
        <w:tc>
          <w:tcPr>
            <w:tcW w:type="dxa" w:w="2268"/>
          </w:tcPr>
          <w:p>
            <w:pPr>
              <w:spacing w:after="0"/>
            </w:pPr>
            <w:r>
              <w:rPr>
                <w:b/>
                <w:i w:val="0"/>
                <w:color w:val="0F1115"/>
                <w:sz w:val="21"/>
              </w:rPr>
              <w:t>Report</w:t>
            </w:r>
          </w:p>
        </w:tc>
        <w:tc>
          <w:tcPr>
            <w:tcW w:type="dxa" w:w="7370"/>
          </w:tcPr>
          <w:p>
            <w:pPr>
              <w:spacing w:after="0"/>
            </w:pPr>
            <w:r>
              <w:rPr>
                <w:b w:val="0"/>
                <w:i w:val="0"/>
                <w:color w:val="0F1115"/>
                <w:sz w:val="21"/>
              </w:rPr>
              <w:t>3</w:t>
            </w:r>
          </w:p>
        </w:tc>
      </w:tr>
      <w:tr>
        <w:trPr>
          <w:cantSplit/>
        </w:trPr>
        <w:tc>
          <w:tcPr>
            <w:tcW w:type="dxa" w:w="2268"/>
          </w:tcPr>
          <w:p>
            <w:pPr>
              <w:spacing w:after="0"/>
            </w:pPr>
            <w:r>
              <w:rPr>
                <w:b/>
                <w:i w:val="0"/>
                <w:color w:val="0F1115"/>
                <w:sz w:val="21"/>
              </w:rPr>
              <w:t>Planned finish</w:t>
            </w:r>
          </w:p>
        </w:tc>
        <w:tc>
          <w:tcPr>
            <w:tcW w:type="dxa" w:w="7370"/>
          </w:tcPr>
          <w:p>
            <w:pPr>
              <w:spacing w:after="0"/>
            </w:pPr>
            <w:r>
              <w:rPr>
                <w:b w:val="0"/>
                <w:i w:val="0"/>
                <w:color w:val="0F1115"/>
                <w:sz w:val="21"/>
              </w:rPr>
              <w:t>Wed 30 Jun 2027</w:t>
            </w:r>
          </w:p>
        </w:tc>
      </w:tr>
    </w:tbl>
    <w:p>
      <w:pPr>
        <w:pStyle w:val="Heading1"/>
      </w:pPr>
      <w:r>
        <w:rPr>
          <w:b/>
          <w:i w:val="0"/>
          <w:color w:val="0F1115"/>
          <w:sz w:val="26"/>
        </w:rPr>
        <w:t>1. Status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1020"/>
        <w:gridCol w:w="1304"/>
        <w:gridCol w:w="1304"/>
        <w:gridCol w:w="6009"/>
      </w:tblGrid>
      <w:tr>
        <w:trPr>
          <w:cantSplit/>
          <w:tblHeader/>
        </w:trPr>
        <w:tc>
          <w:tcPr>
            <w:tcW w:type="dxa" w:w="1020"/>
            <w:shd w:val="clear" w:color="auto" w:fill="F4F5F6"/>
          </w:tcPr>
          <w:p>
            <w:pPr>
              <w:spacing w:after="0"/>
            </w:pPr>
            <w:r>
              <w:rPr>
                <w:b/>
                <w:i w:val="0"/>
                <w:color w:val="0F1115"/>
                <w:sz w:val="21"/>
              </w:rPr>
              <w:t>Line</w:t>
            </w:r>
          </w:p>
        </w:tc>
        <w:tc>
          <w:tcPr>
            <w:tcW w:type="dxa" w:w="1304"/>
            <w:shd w:val="clear" w:color="auto" w:fill="F4F5F6"/>
          </w:tcPr>
          <w:p>
            <w:pPr>
              <w:spacing w:after="0"/>
            </w:pPr>
            <w:r>
              <w:rPr>
                <w:b/>
                <w:i w:val="0"/>
                <w:color w:val="0F1115"/>
                <w:sz w:val="21"/>
              </w:rPr>
              <w:t>This week</w:t>
            </w:r>
          </w:p>
        </w:tc>
        <w:tc>
          <w:tcPr>
            <w:tcW w:type="dxa" w:w="1304"/>
            <w:shd w:val="clear" w:color="auto" w:fill="F4F5F6"/>
          </w:tcPr>
          <w:p>
            <w:pPr>
              <w:spacing w:after="0"/>
            </w:pPr>
            <w:r>
              <w:rPr>
                <w:b/>
                <w:i w:val="0"/>
                <w:color w:val="0F1115"/>
                <w:sz w:val="21"/>
              </w:rPr>
              <w:t>Last week</w:t>
            </w:r>
          </w:p>
        </w:tc>
        <w:tc>
          <w:tcPr>
            <w:tcW w:type="dxa" w:w="6009"/>
            <w:shd w:val="clear" w:color="auto" w:fill="F4F5F6"/>
          </w:tcPr>
          <w:p>
            <w:pPr>
              <w:spacing w:after="0"/>
            </w:pPr>
            <w:r>
              <w:rPr>
                <w:b/>
                <w:i w:val="0"/>
                <w:color w:val="0F1115"/>
                <w:sz w:val="21"/>
              </w:rPr>
              <w:t>Why</w:t>
            </w:r>
          </w:p>
        </w:tc>
      </w:tr>
      <w:tr>
        <w:trPr>
          <w:cantSplit/>
        </w:trPr>
        <w:tc>
          <w:tcPr>
            <w:tcW w:type="dxa" w:w="1020"/>
          </w:tcPr>
          <w:p>
            <w:pPr>
              <w:spacing w:after="0"/>
            </w:pPr>
            <w:r>
              <w:rPr>
                <w:b w:val="0"/>
                <w:i w:val="0"/>
                <w:color w:val="0F1115"/>
                <w:sz w:val="21"/>
              </w:rPr>
              <w:t>Overall</w:t>
            </w:r>
          </w:p>
        </w:tc>
        <w:tc>
          <w:tcPr>
            <w:tcW w:type="dxa" w:w="1304"/>
            <w:shd w:val="clear" w:color="auto" w:fill="E4E7EA"/>
          </w:tcPr>
          <w:p>
            <w:pPr>
              <w:spacing w:after="0"/>
            </w:pPr>
            <w:r>
              <w:rPr>
                <w:b w:val="0"/>
                <w:i w:val="0"/>
                <w:color w:val="0F1115"/>
                <w:sz w:val="21"/>
              </w:rPr>
              <w:t>Amber</w:t>
            </w:r>
          </w:p>
        </w:tc>
        <w:tc>
          <w:tcPr>
            <w:tcW w:type="dxa" w:w="1304"/>
            <w:shd w:val="clear" w:color="auto" w:fill="E4E7EA"/>
          </w:tcPr>
          <w:p>
            <w:pPr>
              <w:spacing w:after="0"/>
            </w:pPr>
            <w:r>
              <w:rPr>
                <w:b w:val="0"/>
                <w:i w:val="0"/>
                <w:color w:val="0F1115"/>
                <w:sz w:val="21"/>
              </w:rPr>
              <w:t>Amber</w:t>
            </w:r>
          </w:p>
        </w:tc>
        <w:tc>
          <w:tcPr>
            <w:tcW w:type="dxa" w:w="6009"/>
          </w:tcPr>
          <w:p>
            <w:pPr>
              <w:spacing w:after="0"/>
            </w:pPr>
            <w:r>
              <w:rPr>
                <w:b w:val="0"/>
                <w:i w:val="0"/>
                <w:color w:val="0F1115"/>
                <w:sz w:val="21"/>
              </w:rPr>
              <w:t>Date sets it. Anders (Engineering Manager) decides CR-5 by Fri 6 Nov 2026.</w:t>
            </w:r>
          </w:p>
        </w:tc>
      </w:tr>
      <w:tr>
        <w:trPr>
          <w:cantSplit/>
        </w:trPr>
        <w:tc>
          <w:tcPr>
            <w:tcW w:type="dxa" w:w="1020"/>
          </w:tcPr>
          <w:p>
            <w:pPr>
              <w:spacing w:after="0"/>
            </w:pPr>
            <w:r>
              <w:rPr>
                <w:b w:val="0"/>
                <w:i w:val="0"/>
                <w:color w:val="0F1115"/>
                <w:sz w:val="21"/>
              </w:rPr>
              <w:t>Date</w:t>
            </w:r>
          </w:p>
        </w:tc>
        <w:tc>
          <w:tcPr>
            <w:tcW w:type="dxa" w:w="1304"/>
            <w:shd w:val="clear" w:color="auto" w:fill="E4E7EA"/>
          </w:tcPr>
          <w:p>
            <w:pPr>
              <w:spacing w:after="0"/>
            </w:pPr>
            <w:r>
              <w:rPr>
                <w:b w:val="0"/>
                <w:i w:val="0"/>
                <w:color w:val="0F1115"/>
                <w:sz w:val="21"/>
              </w:rPr>
              <w:t>Amber</w:t>
            </w:r>
          </w:p>
        </w:tc>
        <w:tc>
          <w:tcPr>
            <w:tcW w:type="dxa" w:w="1304"/>
            <w:shd w:val="clear" w:color="auto" w:fill="E4E7EA"/>
          </w:tcPr>
          <w:p>
            <w:pPr>
              <w:spacing w:after="0"/>
            </w:pPr>
            <w:r>
              <w:rPr>
                <w:b w:val="0"/>
                <w:i w:val="0"/>
                <w:color w:val="0F1115"/>
                <w:sz w:val="21"/>
              </w:rPr>
              <w:t>Amber</w:t>
            </w:r>
          </w:p>
        </w:tc>
        <w:tc>
          <w:tcPr>
            <w:tcW w:type="dxa" w:w="6009"/>
          </w:tcPr>
          <w:p>
            <w:pPr>
              <w:spacing w:after="0"/>
            </w:pPr>
            <w:r>
              <w:rPr>
                <w:b w:val="0"/>
                <w:i w:val="0"/>
                <w:color w:val="0F1115"/>
                <w:sz w:val="21"/>
              </w:rPr>
              <w:t>Build complete is forecast for Fri 13 Nov 2026, 5 working days after Fri 6 Nov. The only staging environment is booked by Data Migration Wave 2 until Fri 20 Nov, so the full-copy test for C-04 can't start before Mon 9 Nov.</w:t>
            </w:r>
          </w:p>
        </w:tc>
      </w:tr>
      <w:tr>
        <w:trPr>
          <w:cantSplit/>
        </w:trPr>
        <w:tc>
          <w:tcPr>
            <w:tcW w:type="dxa" w:w="1020"/>
          </w:tcPr>
          <w:p>
            <w:pPr>
              <w:spacing w:after="0"/>
            </w:pPr>
            <w:r>
              <w:rPr>
                <w:b w:val="0"/>
                <w:i w:val="0"/>
                <w:color w:val="0F1115"/>
                <w:sz w:val="21"/>
              </w:rPr>
              <w:t>Cost</w:t>
            </w:r>
          </w:p>
        </w:tc>
        <w:tc>
          <w:tcPr>
            <w:tcW w:type="dxa" w:w="1304"/>
            <w:shd w:val="clear" w:color="auto" w:fill="E4E7EA"/>
          </w:tcPr>
          <w:p>
            <w:pPr>
              <w:spacing w:after="0"/>
            </w:pPr>
            <w:r>
              <w:rPr>
                <w:b w:val="0"/>
                <w:i w:val="0"/>
                <w:color w:val="0F1115"/>
                <w:sz w:val="21"/>
              </w:rPr>
              <w:t>Green</w:t>
            </w:r>
          </w:p>
        </w:tc>
        <w:tc>
          <w:tcPr>
            <w:tcW w:type="dxa" w:w="1304"/>
            <w:shd w:val="clear" w:color="auto" w:fill="E4E7EA"/>
          </w:tcPr>
          <w:p>
            <w:pPr>
              <w:spacing w:after="0"/>
            </w:pPr>
            <w:r>
              <w:rPr>
                <w:b w:val="0"/>
                <w:i w:val="0"/>
                <w:color w:val="0F1115"/>
                <w:sz w:val="21"/>
              </w:rPr>
              <w:t>Green</w:t>
            </w:r>
          </w:p>
        </w:tc>
        <w:tc>
          <w:tcPr>
            <w:tcW w:type="dxa" w:w="6009"/>
          </w:tcPr>
          <w:p>
            <w:pPr>
              <w:spacing w:after="0"/>
            </w:pPr>
            <w:r>
              <w:rPr>
                <w:b w:val="0"/>
                <w:i w:val="0"/>
                <w:color w:val="0F1115"/>
                <w:sz w:val="21"/>
              </w:rPr>
              <w:t>Forecast at completion is the Baselined cost.</w:t>
            </w:r>
          </w:p>
        </w:tc>
      </w:tr>
      <w:tr>
        <w:trPr>
          <w:cantSplit/>
        </w:trPr>
        <w:tc>
          <w:tcPr>
            <w:tcW w:type="dxa" w:w="1020"/>
          </w:tcPr>
          <w:p>
            <w:pPr>
              <w:spacing w:after="0"/>
            </w:pPr>
            <w:r>
              <w:rPr>
                <w:b w:val="0"/>
                <w:i w:val="0"/>
                <w:color w:val="0F1115"/>
                <w:sz w:val="21"/>
              </w:rPr>
              <w:t>Scope</w:t>
            </w:r>
          </w:p>
        </w:tc>
        <w:tc>
          <w:tcPr>
            <w:tcW w:type="dxa" w:w="1304"/>
            <w:shd w:val="clear" w:color="auto" w:fill="E4E7EA"/>
          </w:tcPr>
          <w:p>
            <w:pPr>
              <w:spacing w:after="0"/>
            </w:pPr>
            <w:r>
              <w:rPr>
                <w:b w:val="0"/>
                <w:i w:val="0"/>
                <w:color w:val="0F1115"/>
                <w:sz w:val="21"/>
              </w:rPr>
              <w:t>Green</w:t>
            </w:r>
          </w:p>
        </w:tc>
        <w:tc>
          <w:tcPr>
            <w:tcW w:type="dxa" w:w="1304"/>
            <w:shd w:val="clear" w:color="auto" w:fill="E4E7EA"/>
          </w:tcPr>
          <w:p>
            <w:pPr>
              <w:spacing w:after="0"/>
            </w:pPr>
            <w:r>
              <w:rPr>
                <w:b w:val="0"/>
                <w:i w:val="0"/>
                <w:color w:val="0F1115"/>
                <w:sz w:val="21"/>
              </w:rPr>
              <w:t>Green</w:t>
            </w:r>
          </w:p>
        </w:tc>
        <w:tc>
          <w:tcPr>
            <w:tcW w:type="dxa" w:w="6009"/>
          </w:tcPr>
          <w:p>
            <w:pPr>
              <w:spacing w:after="0"/>
            </w:pPr>
            <w:r>
              <w:rPr>
                <w:b w:val="0"/>
                <w:i w:val="0"/>
                <w:color w:val="0F1115"/>
                <w:sz w:val="21"/>
              </w:rPr>
              <w:t>No change to scope is waiting. CR-5 moves a date only.</w:t>
            </w:r>
          </w:p>
        </w:tc>
      </w:tr>
    </w:tbl>
    <w:p>
      <w:pPr>
        <w:pStyle w:val="Heading1"/>
      </w:pPr>
      <w:r>
        <w:rPr>
          <w:b/>
          <w:i w:val="0"/>
          <w:color w:val="0F1115"/>
          <w:sz w:val="26"/>
        </w:rPr>
        <w:t>2. Progress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835"/>
        <w:gridCol w:w="3402"/>
        <w:gridCol w:w="3402"/>
      </w:tblGrid>
      <w:tr>
        <w:trPr>
          <w:cantSplit/>
          <w:tblHeader/>
        </w:trPr>
        <w:tc>
          <w:tcPr>
            <w:tcW w:type="dxa" w:w="2835"/>
            <w:shd w:val="clear" w:color="auto" w:fill="F4F5F6"/>
          </w:tcPr>
          <w:p>
            <w:pPr>
              <w:spacing w:after="0"/>
            </w:pPr>
            <w:r>
              <w:rPr>
                <w:b/>
                <w:i w:val="0"/>
                <w:color w:val="0F1115"/>
                <w:sz w:val="21"/>
              </w:rPr>
              <w:t>Measure</w:t>
            </w:r>
          </w:p>
        </w:tc>
        <w:tc>
          <w:tcPr>
            <w:tcW w:type="dxa" w:w="3402"/>
            <w:shd w:val="clear" w:color="auto" w:fill="F4F5F6"/>
          </w:tcPr>
          <w:p>
            <w:pPr>
              <w:spacing w:after="0"/>
            </w:pPr>
            <w:r>
              <w:rPr>
                <w:b/>
                <w:i w:val="0"/>
                <w:color w:val="0F1115"/>
                <w:sz w:val="21"/>
              </w:rPr>
              <w:t>This week</w:t>
            </w:r>
          </w:p>
        </w:tc>
        <w:tc>
          <w:tcPr>
            <w:tcW w:type="dxa" w:w="3402"/>
            <w:shd w:val="clear" w:color="auto" w:fill="F4F5F6"/>
          </w:tcPr>
          <w:p>
            <w:pPr>
              <w:spacing w:after="0"/>
            </w:pPr>
            <w:r>
              <w:rPr>
                <w:b/>
                <w:i w:val="0"/>
                <w:color w:val="0F1115"/>
                <w:sz w:val="21"/>
              </w:rPr>
              <w:t>Last week</w:t>
            </w:r>
          </w:p>
        </w:tc>
      </w:tr>
      <w:tr>
        <w:trPr>
          <w:cantSplit/>
        </w:trPr>
        <w:tc>
          <w:tcPr>
            <w:tcW w:type="dxa" w:w="2835"/>
          </w:tcPr>
          <w:p>
            <w:pPr>
              <w:spacing w:after="0"/>
            </w:pPr>
            <w:r>
              <w:rPr>
                <w:b w:val="0"/>
                <w:i w:val="0"/>
                <w:color w:val="0F1115"/>
                <w:sz w:val="21"/>
              </w:rPr>
              <w:t>Acceptance criteria</w:t>
            </w:r>
          </w:p>
        </w:tc>
        <w:tc>
          <w:tcPr>
            <w:tcW w:type="dxa" w:w="3402"/>
          </w:tcPr>
          <w:p>
            <w:pPr>
              <w:spacing w:after="0"/>
            </w:pPr>
            <w:r>
              <w:rPr>
                <w:b w:val="0"/>
                <w:i w:val="0"/>
                <w:color w:val="0F1115"/>
                <w:sz w:val="21"/>
              </w:rPr>
              <w:t>3 Met, 1 Waived, 8 Open</w:t>
            </w:r>
          </w:p>
        </w:tc>
        <w:tc>
          <w:tcPr>
            <w:tcW w:type="dxa" w:w="3402"/>
          </w:tcPr>
          <w:p>
            <w:pPr>
              <w:spacing w:after="0"/>
            </w:pPr>
            <w:r>
              <w:rPr>
                <w:b w:val="0"/>
                <w:i w:val="0"/>
                <w:color w:val="0F1115"/>
                <w:sz w:val="21"/>
              </w:rPr>
              <w:t>3 Met, 1 Waived, 8 Open</w:t>
            </w:r>
          </w:p>
        </w:tc>
      </w:tr>
      <w:tr>
        <w:trPr>
          <w:cantSplit/>
        </w:trPr>
        <w:tc>
          <w:tcPr>
            <w:tcW w:type="dxa" w:w="2835"/>
          </w:tcPr>
          <w:p>
            <w:pPr>
              <w:spacing w:after="0"/>
            </w:pPr>
            <w:r>
              <w:rPr>
                <w:b w:val="0"/>
                <w:i w:val="0"/>
                <w:color w:val="0F1115"/>
                <w:sz w:val="21"/>
              </w:rPr>
              <w:t>Gates decided</w:t>
            </w:r>
          </w:p>
        </w:tc>
        <w:tc>
          <w:tcPr>
            <w:tcW w:type="dxa" w:w="3402"/>
          </w:tcPr>
          <w:p>
            <w:pPr>
              <w:spacing w:after="0"/>
            </w:pPr>
            <w:r>
              <w:rPr>
                <w:b w:val="0"/>
                <w:i w:val="0"/>
                <w:color w:val="0F1115"/>
                <w:sz w:val="21"/>
              </w:rPr>
              <w:t>2 of 7: Start, Plan baselined</w:t>
            </w:r>
          </w:p>
        </w:tc>
        <w:tc>
          <w:tcPr>
            <w:tcW w:type="dxa" w:w="3402"/>
          </w:tcPr>
          <w:p>
            <w:pPr>
              <w:spacing w:after="0"/>
            </w:pPr>
            <w:r>
              <w:rPr>
                <w:b w:val="0"/>
                <w:i w:val="0"/>
                <w:color w:val="0F1115"/>
                <w:sz w:val="21"/>
              </w:rPr>
              <w:t>2 of 7: Start, Plan baselined</w:t>
            </w:r>
          </w:p>
        </w:tc>
      </w:tr>
    </w:tbl>
    <w:p>
      <w:pPr>
        <w:pStyle w:val="Heading2"/>
      </w:pPr>
      <w:r>
        <w:rPr>
          <w:b/>
          <w:i w:val="0"/>
          <w:color w:val="0F1115"/>
          <w:sz w:val="22"/>
        </w:rPr>
        <w:t>Done this week</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4535"/>
        <w:gridCol w:w="2608"/>
        <w:gridCol w:w="2494"/>
      </w:tblGrid>
      <w:tr>
        <w:trPr>
          <w:cantSplit/>
          <w:tblHeader/>
        </w:trPr>
        <w:tc>
          <w:tcPr>
            <w:tcW w:type="dxa" w:w="4535"/>
            <w:shd w:val="clear" w:color="auto" w:fill="F4F5F6"/>
          </w:tcPr>
          <w:p>
            <w:pPr>
              <w:spacing w:after="0"/>
            </w:pPr>
            <w:r>
              <w:rPr>
                <w:b/>
                <w:i w:val="0"/>
                <w:color w:val="0F1115"/>
                <w:sz w:val="21"/>
              </w:rPr>
              <w:t>What</w:t>
            </w:r>
          </w:p>
        </w:tc>
        <w:tc>
          <w:tcPr>
            <w:tcW w:type="dxa" w:w="2608"/>
            <w:shd w:val="clear" w:color="auto" w:fill="F4F5F6"/>
          </w:tcPr>
          <w:p>
            <w:pPr>
              <w:spacing w:after="0"/>
            </w:pPr>
            <w:r>
              <w:rPr>
                <w:b/>
                <w:i w:val="0"/>
                <w:color w:val="0F1115"/>
                <w:sz w:val="21"/>
              </w:rPr>
              <w:t>Evidence</w:t>
            </w:r>
          </w:p>
        </w:tc>
        <w:tc>
          <w:tcPr>
            <w:tcW w:type="dxa" w:w="2494"/>
            <w:shd w:val="clear" w:color="auto" w:fill="F4F5F6"/>
          </w:tcPr>
          <w:p>
            <w:pPr>
              <w:spacing w:after="0"/>
            </w:pPr>
            <w:r>
              <w:rPr>
                <w:b/>
                <w:i w:val="0"/>
                <w:color w:val="0F1115"/>
                <w:sz w:val="21"/>
              </w:rPr>
              <w:t>By</w:t>
            </w:r>
          </w:p>
        </w:tc>
      </w:tr>
      <w:tr>
        <w:trPr>
          <w:cantSplit/>
        </w:trPr>
        <w:tc>
          <w:tcPr>
            <w:tcW w:type="dxa" w:w="4535"/>
          </w:tcPr>
          <w:p>
            <w:pPr>
              <w:spacing w:after="0"/>
            </w:pPr>
            <w:r>
              <w:rPr>
                <w:b w:val="0"/>
                <w:i w:val="0"/>
                <w:color w:val="0F1115"/>
                <w:sz w:val="21"/>
              </w:rPr>
              <w:t>Project charter v1 signed by the Owner. The other signatures are waiting.</w:t>
            </w:r>
          </w:p>
        </w:tc>
        <w:tc>
          <w:tcPr>
            <w:tcW w:type="dxa" w:w="2608"/>
          </w:tcPr>
          <w:p>
            <w:pPr>
              <w:spacing w:after="0"/>
            </w:pPr>
            <w:r>
              <w:rPr>
                <w:b w:val="0"/>
                <w:i w:val="0"/>
                <w:color w:val="0F1115"/>
                <w:sz w:val="21"/>
              </w:rPr>
              <w:t>Decision log, DL-11</w:t>
            </w:r>
          </w:p>
        </w:tc>
        <w:tc>
          <w:tcPr>
            <w:tcW w:type="dxa" w:w="2494"/>
          </w:tcPr>
          <w:p>
            <w:pPr>
              <w:spacing w:after="0"/>
            </w:pPr>
            <w:r>
              <w:rPr>
                <w:b w:val="0"/>
                <w:i w:val="0"/>
                <w:color w:val="0F1115"/>
                <w:sz w:val="21"/>
              </w:rPr>
              <w:t>Anders (Engineering Manager)</w:t>
            </w:r>
          </w:p>
        </w:tc>
      </w:tr>
      <w:tr>
        <w:trPr>
          <w:cantSplit/>
        </w:trPr>
        <w:tc>
          <w:tcPr>
            <w:tcW w:type="dxa" w:w="4535"/>
          </w:tcPr>
          <w:p>
            <w:pPr>
              <w:spacing w:after="0"/>
            </w:pPr>
            <w:r>
              <w:rPr>
                <w:b w:val="0"/>
                <w:i w:val="0"/>
                <w:color w:val="0F1115"/>
                <w:sz w:val="21"/>
              </w:rPr>
              <w:t>Program board decision: customers outside the US and on annual contracts get the second-wave notice before Mon 1 Feb 2027.</w:t>
            </w:r>
          </w:p>
        </w:tc>
        <w:tc>
          <w:tcPr>
            <w:tcW w:type="dxa" w:w="2608"/>
          </w:tcPr>
          <w:p>
            <w:pPr>
              <w:spacing w:after="0"/>
            </w:pPr>
            <w:r>
              <w:rPr>
                <w:b w:val="0"/>
                <w:i w:val="0"/>
                <w:color w:val="0F1115"/>
                <w:sz w:val="21"/>
              </w:rPr>
              <w:t>Decision log, DL-12</w:t>
            </w:r>
          </w:p>
        </w:tc>
        <w:tc>
          <w:tcPr>
            <w:tcW w:type="dxa" w:w="2494"/>
          </w:tcPr>
          <w:p>
            <w:pPr>
              <w:spacing w:after="0"/>
            </w:pPr>
            <w:r>
              <w:rPr>
                <w:b w:val="0"/>
                <w:i w:val="0"/>
                <w:color w:val="0F1115"/>
                <w:sz w:val="21"/>
              </w:rPr>
              <w:t>Hugo (Program Manager)</w:t>
            </w:r>
          </w:p>
        </w:tc>
      </w:tr>
    </w:tbl>
    <w:p>
      <w:pPr>
        <w:pStyle w:val="Heading1"/>
      </w:pPr>
      <w:r>
        <w:rPr>
          <w:b/>
          <w:i w:val="0"/>
          <w:color w:val="0F1115"/>
          <w:sz w:val="26"/>
        </w:rPr>
        <w:t>3. Money</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3969"/>
        <w:gridCol w:w="2835"/>
        <w:gridCol w:w="2835"/>
      </w:tblGrid>
      <w:tr>
        <w:trPr>
          <w:cantSplit/>
          <w:tblHeader/>
        </w:trPr>
        <w:tc>
          <w:tcPr>
            <w:tcW w:type="dxa" w:w="3969"/>
            <w:shd w:val="clear" w:color="auto" w:fill="F4F5F6"/>
          </w:tcPr>
          <w:p>
            <w:pPr>
              <w:spacing w:after="0"/>
            </w:pPr>
            <w:r>
              <w:rPr>
                <w:b/>
                <w:i w:val="0"/>
                <w:color w:val="0F1115"/>
                <w:sz w:val="21"/>
              </w:rPr>
              <w:t>Line</w:t>
            </w:r>
          </w:p>
        </w:tc>
        <w:tc>
          <w:tcPr>
            <w:tcW w:type="dxa" w:w="2835"/>
            <w:shd w:val="clear" w:color="auto" w:fill="F4F5F6"/>
          </w:tcPr>
          <w:p>
            <w:pPr>
              <w:spacing w:after="0"/>
            </w:pPr>
            <w:r>
              <w:rPr>
                <w:b/>
                <w:i w:val="0"/>
                <w:color w:val="0F1115"/>
                <w:sz w:val="21"/>
              </w:rPr>
              <w:t>This week</w:t>
            </w:r>
          </w:p>
        </w:tc>
        <w:tc>
          <w:tcPr>
            <w:tcW w:type="dxa" w:w="2835"/>
            <w:shd w:val="clear" w:color="auto" w:fill="F4F5F6"/>
          </w:tcPr>
          <w:p>
            <w:pPr>
              <w:spacing w:after="0"/>
            </w:pPr>
            <w:r>
              <w:rPr>
                <w:b/>
                <w:i w:val="0"/>
                <w:color w:val="0F1115"/>
                <w:sz w:val="21"/>
              </w:rPr>
              <w:t>Last week</w:t>
            </w:r>
          </w:p>
        </w:tc>
      </w:tr>
      <w:tr>
        <w:trPr>
          <w:cantSplit/>
        </w:trPr>
        <w:tc>
          <w:tcPr>
            <w:tcW w:type="dxa" w:w="3969"/>
          </w:tcPr>
          <w:p>
            <w:pPr>
              <w:spacing w:after="0"/>
            </w:pPr>
            <w:r>
              <w:rPr>
                <w:b w:val="0"/>
                <w:i w:val="0"/>
                <w:color w:val="0F1115"/>
                <w:sz w:val="21"/>
              </w:rPr>
              <w:t>Share</w:t>
            </w:r>
          </w:p>
        </w:tc>
        <w:tc>
          <w:tcPr>
            <w:tcW w:type="dxa" w:w="2835"/>
          </w:tcPr>
          <w:p>
            <w:pPr>
              <w:spacing w:after="0"/>
              <w:jc w:val="right"/>
            </w:pPr>
            <w:r>
              <w:rPr>
                <w:b w:val="0"/>
                <w:i w:val="0"/>
                <w:color w:val="0F1115"/>
                <w:sz w:val="21"/>
              </w:rPr>
              <w:t>780,000</w:t>
            </w:r>
          </w:p>
        </w:tc>
        <w:tc>
          <w:tcPr>
            <w:tcW w:type="dxa" w:w="2835"/>
          </w:tcPr>
          <w:p>
            <w:pPr>
              <w:spacing w:after="0"/>
              <w:jc w:val="right"/>
            </w:pPr>
            <w:r>
              <w:rPr>
                <w:b w:val="0"/>
                <w:i w:val="0"/>
                <w:color w:val="0F1115"/>
                <w:sz w:val="21"/>
              </w:rPr>
              <w:t>780,000</w:t>
            </w:r>
          </w:p>
        </w:tc>
      </w:tr>
      <w:tr>
        <w:trPr>
          <w:cantSplit/>
        </w:trPr>
        <w:tc>
          <w:tcPr>
            <w:tcW w:type="dxa" w:w="3969"/>
          </w:tcPr>
          <w:p>
            <w:pPr>
              <w:spacing w:after="0"/>
            </w:pPr>
            <w:r>
              <w:rPr>
                <w:b w:val="0"/>
                <w:i w:val="0"/>
                <w:color w:val="0F1115"/>
                <w:sz w:val="21"/>
              </w:rPr>
              <w:t>Baselined cost</w:t>
            </w:r>
          </w:p>
        </w:tc>
        <w:tc>
          <w:tcPr>
            <w:tcW w:type="dxa" w:w="2835"/>
          </w:tcPr>
          <w:p>
            <w:pPr>
              <w:spacing w:after="0"/>
              <w:jc w:val="right"/>
            </w:pPr>
            <w:r>
              <w:rPr>
                <w:b w:val="0"/>
                <w:i w:val="0"/>
                <w:color w:val="0F1115"/>
                <w:sz w:val="21"/>
              </w:rPr>
              <w:t>780,000</w:t>
            </w:r>
          </w:p>
        </w:tc>
        <w:tc>
          <w:tcPr>
            <w:tcW w:type="dxa" w:w="2835"/>
          </w:tcPr>
          <w:p>
            <w:pPr>
              <w:spacing w:after="0"/>
              <w:jc w:val="right"/>
            </w:pPr>
            <w:r>
              <w:rPr>
                <w:b w:val="0"/>
                <w:i w:val="0"/>
                <w:color w:val="0F1115"/>
                <w:sz w:val="21"/>
              </w:rPr>
              <w:t>780,000</w:t>
            </w:r>
          </w:p>
        </w:tc>
      </w:tr>
      <w:tr>
        <w:trPr>
          <w:cantSplit/>
        </w:trPr>
        <w:tc>
          <w:tcPr>
            <w:tcW w:type="dxa" w:w="3969"/>
          </w:tcPr>
          <w:p>
            <w:pPr>
              <w:spacing w:after="0"/>
            </w:pPr>
            <w:r>
              <w:rPr>
                <w:b w:val="0"/>
                <w:i w:val="0"/>
                <w:color w:val="0F1115"/>
                <w:sz w:val="21"/>
              </w:rPr>
              <w:t>Owner's limit</w:t>
            </w:r>
          </w:p>
        </w:tc>
        <w:tc>
          <w:tcPr>
            <w:tcW w:type="dxa" w:w="2835"/>
          </w:tcPr>
          <w:p>
            <w:pPr>
              <w:spacing w:after="0"/>
              <w:jc w:val="right"/>
            </w:pPr>
            <w:r>
              <w:rPr>
                <w:b w:val="0"/>
                <w:i w:val="0"/>
                <w:color w:val="0F1115"/>
                <w:sz w:val="21"/>
              </w:rPr>
              <w:t>15,600</w:t>
            </w:r>
          </w:p>
        </w:tc>
        <w:tc>
          <w:tcPr>
            <w:tcW w:type="dxa" w:w="2835"/>
          </w:tcPr>
          <w:p>
            <w:pPr>
              <w:spacing w:after="0"/>
              <w:jc w:val="right"/>
            </w:pPr>
            <w:r>
              <w:rPr>
                <w:b w:val="0"/>
                <w:i w:val="0"/>
                <w:color w:val="0F1115"/>
                <w:sz w:val="21"/>
              </w:rPr>
              <w:t>15,600</w:t>
            </w:r>
          </w:p>
        </w:tc>
      </w:tr>
      <w:tr>
        <w:trPr>
          <w:cantSplit/>
        </w:trPr>
        <w:tc>
          <w:tcPr>
            <w:tcW w:type="dxa" w:w="3969"/>
          </w:tcPr>
          <w:p>
            <w:pPr>
              <w:spacing w:after="0"/>
            </w:pPr>
            <w:r>
              <w:rPr>
                <w:b w:val="0"/>
                <w:i w:val="0"/>
                <w:color w:val="0F1115"/>
                <w:sz w:val="21"/>
              </w:rPr>
              <w:t>Spent to date</w:t>
            </w:r>
          </w:p>
        </w:tc>
        <w:tc>
          <w:tcPr>
            <w:tcW w:type="dxa" w:w="2835"/>
          </w:tcPr>
          <w:p>
            <w:pPr>
              <w:spacing w:after="0"/>
              <w:jc w:val="right"/>
            </w:pPr>
            <w:r>
              <w:rPr>
                <w:b w:val="0"/>
                <w:i w:val="0"/>
                <w:color w:val="0F1115"/>
                <w:sz w:val="21"/>
              </w:rPr>
              <w:t>463,000</w:t>
            </w:r>
          </w:p>
        </w:tc>
        <w:tc>
          <w:tcPr>
            <w:tcW w:type="dxa" w:w="2835"/>
          </w:tcPr>
          <w:p>
            <w:pPr>
              <w:spacing w:after="0"/>
              <w:jc w:val="right"/>
            </w:pPr>
            <w:r>
              <w:rPr>
                <w:b w:val="0"/>
                <w:i w:val="0"/>
                <w:color w:val="0F1115"/>
                <w:sz w:val="21"/>
              </w:rPr>
              <w:t>447,000</w:t>
            </w:r>
          </w:p>
        </w:tc>
      </w:tr>
      <w:tr>
        <w:trPr>
          <w:cantSplit/>
        </w:trPr>
        <w:tc>
          <w:tcPr>
            <w:tcW w:type="dxa" w:w="3969"/>
          </w:tcPr>
          <w:p>
            <w:pPr>
              <w:spacing w:after="0"/>
            </w:pPr>
            <w:r>
              <w:rPr>
                <w:b w:val="0"/>
                <w:i w:val="0"/>
                <w:color w:val="0F1115"/>
                <w:sz w:val="21"/>
              </w:rPr>
              <w:t>Share spent</w:t>
            </w:r>
          </w:p>
        </w:tc>
        <w:tc>
          <w:tcPr>
            <w:tcW w:type="dxa" w:w="2835"/>
          </w:tcPr>
          <w:p>
            <w:pPr>
              <w:spacing w:after="0"/>
              <w:jc w:val="right"/>
            </w:pPr>
            <w:r>
              <w:rPr>
                <w:b w:val="0"/>
                <w:i w:val="0"/>
                <w:color w:val="0F1115"/>
                <w:sz w:val="21"/>
              </w:rPr>
              <w:t>59 percent</w:t>
            </w:r>
          </w:p>
        </w:tc>
        <w:tc>
          <w:tcPr>
            <w:tcW w:type="dxa" w:w="2835"/>
          </w:tcPr>
          <w:p>
            <w:pPr>
              <w:spacing w:after="0"/>
              <w:jc w:val="right"/>
            </w:pPr>
            <w:r>
              <w:rPr>
                <w:b w:val="0"/>
                <w:i w:val="0"/>
                <w:color w:val="0F1115"/>
                <w:sz w:val="21"/>
              </w:rPr>
              <w:t>57 percent</w:t>
            </w:r>
          </w:p>
        </w:tc>
      </w:tr>
      <w:tr>
        <w:trPr>
          <w:cantSplit/>
        </w:trPr>
        <w:tc>
          <w:tcPr>
            <w:tcW w:type="dxa" w:w="3969"/>
          </w:tcPr>
          <w:p>
            <w:pPr>
              <w:spacing w:after="0"/>
            </w:pPr>
            <w:r>
              <w:rPr>
                <w:b w:val="0"/>
                <w:i w:val="0"/>
                <w:color w:val="0F1115"/>
                <w:sz w:val="21"/>
              </w:rPr>
              <w:t>Forecast at completion</w:t>
            </w:r>
          </w:p>
        </w:tc>
        <w:tc>
          <w:tcPr>
            <w:tcW w:type="dxa" w:w="2835"/>
          </w:tcPr>
          <w:p>
            <w:pPr>
              <w:spacing w:after="0"/>
              <w:jc w:val="right"/>
            </w:pPr>
            <w:r>
              <w:rPr>
                <w:b w:val="0"/>
                <w:i w:val="0"/>
                <w:color w:val="0F1115"/>
                <w:sz w:val="21"/>
              </w:rPr>
              <w:t>780,000</w:t>
            </w:r>
          </w:p>
        </w:tc>
        <w:tc>
          <w:tcPr>
            <w:tcW w:type="dxa" w:w="2835"/>
          </w:tcPr>
          <w:p>
            <w:pPr>
              <w:spacing w:after="0"/>
              <w:jc w:val="right"/>
            </w:pPr>
            <w:r>
              <w:rPr>
                <w:b w:val="0"/>
                <w:i w:val="0"/>
                <w:color w:val="0F1115"/>
                <w:sz w:val="21"/>
              </w:rPr>
              <w:t>780,000</w:t>
            </w:r>
          </w:p>
        </w:tc>
      </w:tr>
      <w:tr>
        <w:trPr>
          <w:cantSplit/>
        </w:trPr>
        <w:tc>
          <w:tcPr>
            <w:tcW w:type="dxa" w:w="3969"/>
          </w:tcPr>
          <w:p>
            <w:pPr>
              <w:spacing w:after="0"/>
            </w:pPr>
            <w:r>
              <w:rPr>
                <w:b w:val="0"/>
                <w:i w:val="0"/>
                <w:color w:val="0F1115"/>
                <w:sz w:val="21"/>
              </w:rPr>
              <w:t>Over the share</w:t>
            </w:r>
          </w:p>
        </w:tc>
        <w:tc>
          <w:tcPr>
            <w:tcW w:type="dxa" w:w="2835"/>
          </w:tcPr>
          <w:p>
            <w:pPr>
              <w:spacing w:after="0"/>
              <w:jc w:val="right"/>
            </w:pPr>
            <w:r>
              <w:rPr>
                <w:b w:val="0"/>
                <w:i w:val="0"/>
                <w:color w:val="0F1115"/>
                <w:sz w:val="21"/>
              </w:rPr>
              <w:t>0</w:t>
            </w:r>
          </w:p>
        </w:tc>
        <w:tc>
          <w:tcPr>
            <w:tcW w:type="dxa" w:w="2835"/>
          </w:tcPr>
          <w:p>
            <w:pPr>
              <w:spacing w:after="0"/>
              <w:jc w:val="right"/>
            </w:pPr>
            <w:r>
              <w:rPr>
                <w:b w:val="0"/>
                <w:i w:val="0"/>
                <w:color w:val="0F1115"/>
                <w:sz w:val="21"/>
              </w:rPr>
              <w:t>0</w:t>
            </w:r>
          </w:p>
        </w:tc>
      </w:tr>
    </w:tbl>
    <w:p>
      <w:pPr>
        <w:keepNext w:val="0"/>
        <w:spacing w:after="40" w:before="0"/>
      </w:pP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2268"/>
        <w:gridCol w:w="7370"/>
      </w:tblGrid>
      <w:tr>
        <w:trPr>
          <w:cantSplit/>
        </w:trPr>
        <w:tc>
          <w:tcPr>
            <w:tcW w:type="dxa" w:w="2268"/>
          </w:tcPr>
          <w:p>
            <w:pPr>
              <w:spacing w:after="0"/>
            </w:pPr>
            <w:r>
              <w:rPr>
                <w:b/>
                <w:i w:val="0"/>
                <w:color w:val="0F1115"/>
                <w:sz w:val="21"/>
              </w:rPr>
              <w:t>Forecast given by</w:t>
            </w:r>
          </w:p>
        </w:tc>
        <w:tc>
          <w:tcPr>
            <w:tcW w:type="dxa" w:w="7370"/>
          </w:tcPr>
          <w:p>
            <w:pPr>
              <w:spacing w:after="0"/>
            </w:pPr>
            <w:r>
              <w:rPr>
                <w:b w:val="0"/>
                <w:i w:val="0"/>
                <w:color w:val="0F1115"/>
                <w:sz w:val="21"/>
              </w:rPr>
              <w:t>Anders (Engineering Manager), Thu 22 Oct 2026</w:t>
            </w:r>
          </w:p>
        </w:tc>
      </w:tr>
      <w:tr>
        <w:trPr>
          <w:cantSplit/>
        </w:trPr>
        <w:tc>
          <w:tcPr>
            <w:tcW w:type="dxa" w:w="2268"/>
          </w:tcPr>
          <w:p>
            <w:pPr>
              <w:spacing w:after="0"/>
            </w:pPr>
            <w:r>
              <w:rPr>
                <w:b/>
                <w:i w:val="0"/>
                <w:color w:val="0F1115"/>
                <w:sz w:val="21"/>
              </w:rPr>
              <w:t>Spent given by</w:t>
            </w:r>
          </w:p>
        </w:tc>
        <w:tc>
          <w:tcPr>
            <w:tcW w:type="dxa" w:w="7370"/>
          </w:tcPr>
          <w:p>
            <w:pPr>
              <w:spacing w:after="0"/>
            </w:pPr>
            <w:r>
              <w:rPr>
                <w:b w:val="0"/>
                <w:i w:val="0"/>
                <w:color w:val="0F1115"/>
                <w:sz w:val="21"/>
              </w:rPr>
              <w:t>Rhys (Finance Operations Lead), Thu 22 Oct 2026</w:t>
            </w:r>
          </w:p>
        </w:tc>
      </w:tr>
    </w:tbl>
    <w:p>
      <w:pPr>
        <w:pStyle w:val="Heading1"/>
      </w:pPr>
      <w:r>
        <w:rPr>
          <w:b/>
          <w:i w:val="0"/>
          <w:color w:val="0F1115"/>
          <w:sz w:val="26"/>
        </w:rPr>
        <w:t>4. Dates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381"/>
        <w:gridCol w:w="1928"/>
        <w:gridCol w:w="1928"/>
        <w:gridCol w:w="1474"/>
        <w:gridCol w:w="1928"/>
      </w:tblGrid>
      <w:tr>
        <w:trPr>
          <w:cantSplit/>
          <w:tblHeader/>
        </w:trPr>
        <w:tc>
          <w:tcPr>
            <w:tcW w:type="dxa" w:w="2381"/>
            <w:shd w:val="clear" w:color="auto" w:fill="F4F5F6"/>
          </w:tcPr>
          <w:p>
            <w:pPr>
              <w:spacing w:after="0"/>
            </w:pPr>
            <w:r>
              <w:rPr>
                <w:b/>
                <w:i w:val="0"/>
                <w:color w:val="0F1115"/>
                <w:sz w:val="21"/>
              </w:rPr>
              <w:t>Milestone</w:t>
            </w:r>
          </w:p>
        </w:tc>
        <w:tc>
          <w:tcPr>
            <w:tcW w:type="dxa" w:w="1928"/>
            <w:shd w:val="clear" w:color="auto" w:fill="F4F5F6"/>
          </w:tcPr>
          <w:p>
            <w:pPr>
              <w:spacing w:after="0"/>
            </w:pPr>
            <w:r>
              <w:rPr>
                <w:b/>
                <w:i w:val="0"/>
                <w:color w:val="0F1115"/>
                <w:sz w:val="21"/>
              </w:rPr>
              <w:t>Baselined</w:t>
            </w:r>
          </w:p>
        </w:tc>
        <w:tc>
          <w:tcPr>
            <w:tcW w:type="dxa" w:w="1928"/>
            <w:shd w:val="clear" w:color="auto" w:fill="F4F5F6"/>
          </w:tcPr>
          <w:p>
            <w:pPr>
              <w:spacing w:after="0"/>
            </w:pPr>
            <w:r>
              <w:rPr>
                <w:b/>
                <w:i w:val="0"/>
                <w:color w:val="0F1115"/>
                <w:sz w:val="21"/>
              </w:rPr>
              <w:t>Forecast</w:t>
            </w:r>
          </w:p>
        </w:tc>
        <w:tc>
          <w:tcPr>
            <w:tcW w:type="dxa" w:w="1474"/>
            <w:shd w:val="clear" w:color="auto" w:fill="F4F5F6"/>
          </w:tcPr>
          <w:p>
            <w:pPr>
              <w:spacing w:after="0"/>
            </w:pPr>
            <w:r>
              <w:rPr>
                <w:b/>
                <w:i w:val="0"/>
                <w:color w:val="0F1115"/>
                <w:sz w:val="21"/>
              </w:rPr>
              <w:t>Working days late</w:t>
            </w:r>
          </w:p>
        </w:tc>
        <w:tc>
          <w:tcPr>
            <w:tcW w:type="dxa" w:w="1928"/>
            <w:shd w:val="clear" w:color="auto" w:fill="F4F5F6"/>
          </w:tcPr>
          <w:p>
            <w:pPr>
              <w:spacing w:after="0"/>
            </w:pPr>
            <w:r>
              <w:rPr>
                <w:b/>
                <w:i w:val="0"/>
                <w:color w:val="0F1115"/>
                <w:sz w:val="21"/>
              </w:rPr>
              <w:t>Reading</w:t>
            </w:r>
          </w:p>
        </w:tc>
      </w:tr>
      <w:tr>
        <w:trPr>
          <w:cantSplit/>
        </w:trPr>
        <w:tc>
          <w:tcPr>
            <w:tcW w:type="dxa" w:w="2381"/>
          </w:tcPr>
          <w:p>
            <w:pPr>
              <w:spacing w:after="0"/>
            </w:pPr>
            <w:r>
              <w:rPr>
                <w:b w:val="0"/>
                <w:i w:val="0"/>
                <w:color w:val="0F1115"/>
                <w:sz w:val="21"/>
              </w:rPr>
              <w:t>Build complete</w:t>
            </w:r>
          </w:p>
        </w:tc>
        <w:tc>
          <w:tcPr>
            <w:tcW w:type="dxa" w:w="1928"/>
          </w:tcPr>
          <w:p>
            <w:pPr>
              <w:spacing w:after="0"/>
            </w:pPr>
            <w:r>
              <w:rPr>
                <w:b w:val="0"/>
                <w:i w:val="0"/>
                <w:color w:val="0F1115"/>
                <w:sz w:val="21"/>
              </w:rPr>
              <w:t>Fri 6 Nov 2026</w:t>
            </w:r>
          </w:p>
        </w:tc>
        <w:tc>
          <w:tcPr>
            <w:tcW w:type="dxa" w:w="1928"/>
          </w:tcPr>
          <w:p>
            <w:pPr>
              <w:spacing w:after="0"/>
            </w:pPr>
            <w:r>
              <w:rPr>
                <w:b w:val="0"/>
                <w:i w:val="0"/>
                <w:color w:val="0F1115"/>
                <w:sz w:val="21"/>
              </w:rPr>
              <w:t>Fri 13 Nov 2026</w:t>
            </w:r>
          </w:p>
        </w:tc>
        <w:tc>
          <w:tcPr>
            <w:tcW w:type="dxa" w:w="1474"/>
          </w:tcPr>
          <w:p>
            <w:pPr>
              <w:spacing w:after="0"/>
              <w:jc w:val="right"/>
            </w:pPr>
            <w:r>
              <w:rPr>
                <w:b w:val="0"/>
                <w:i w:val="0"/>
                <w:color w:val="0F1115"/>
                <w:sz w:val="21"/>
              </w:rPr>
              <w:t>5</w:t>
            </w:r>
          </w:p>
        </w:tc>
        <w:tc>
          <w:tcPr>
            <w:tcW w:type="dxa" w:w="1928"/>
            <w:shd w:val="clear" w:color="auto" w:fill="E4E7EA"/>
          </w:tcPr>
          <w:p>
            <w:pPr>
              <w:spacing w:after="0"/>
            </w:pPr>
            <w:r>
              <w:rPr>
                <w:b w:val="0"/>
                <w:i w:val="0"/>
                <w:color w:val="0F1115"/>
                <w:sz w:val="21"/>
              </w:rPr>
              <w:t>Amber</w:t>
            </w:r>
          </w:p>
        </w:tc>
      </w:tr>
      <w:tr>
        <w:trPr>
          <w:cantSplit/>
        </w:trPr>
        <w:tc>
          <w:tcPr>
            <w:tcW w:type="dxa" w:w="2381"/>
          </w:tcPr>
          <w:p>
            <w:pPr>
              <w:spacing w:after="0"/>
            </w:pPr>
            <w:r>
              <w:rPr>
                <w:b w:val="0"/>
                <w:i w:val="0"/>
                <w:color w:val="0F1115"/>
                <w:sz w:val="21"/>
              </w:rPr>
              <w:t>Readiness</w:t>
            </w:r>
          </w:p>
        </w:tc>
        <w:tc>
          <w:tcPr>
            <w:tcW w:type="dxa" w:w="1928"/>
          </w:tcPr>
          <w:p>
            <w:pPr>
              <w:spacing w:after="0"/>
            </w:pPr>
            <w:r>
              <w:rPr>
                <w:b w:val="0"/>
                <w:i w:val="0"/>
                <w:color w:val="0F1115"/>
                <w:sz w:val="21"/>
              </w:rPr>
              <w:t>Thu 19 Nov 2026</w:t>
            </w:r>
          </w:p>
        </w:tc>
        <w:tc>
          <w:tcPr>
            <w:tcW w:type="dxa" w:w="1928"/>
          </w:tcPr>
          <w:p>
            <w:pPr>
              <w:spacing w:after="0"/>
            </w:pPr>
            <w:r>
              <w:rPr>
                <w:b w:val="0"/>
                <w:i w:val="0"/>
                <w:color w:val="0F1115"/>
                <w:sz w:val="21"/>
              </w:rPr>
              <w:t>Thu 19 Nov 2026</w:t>
            </w:r>
          </w:p>
        </w:tc>
        <w:tc>
          <w:tcPr>
            <w:tcW w:type="dxa" w:w="1474"/>
          </w:tcPr>
          <w:p>
            <w:pPr>
              <w:spacing w:after="0"/>
              <w:jc w:val="right"/>
            </w:pPr>
            <w:r>
              <w:rPr>
                <w:b w:val="0"/>
                <w:i w:val="0"/>
                <w:color w:val="0F1115"/>
                <w:sz w:val="21"/>
              </w:rPr>
              <w:t>0</w:t>
            </w:r>
          </w:p>
        </w:tc>
        <w:tc>
          <w:tcPr>
            <w:tcW w:type="dxa" w:w="1928"/>
            <w:shd w:val="clear" w:color="auto" w:fill="E4E7EA"/>
          </w:tcPr>
          <w:p>
            <w:pPr>
              <w:spacing w:after="0"/>
            </w:pPr>
            <w:r>
              <w:rPr>
                <w:b w:val="0"/>
                <w:i w:val="0"/>
                <w:color w:val="0F1115"/>
                <w:sz w:val="21"/>
              </w:rPr>
              <w:t>Green</w:t>
            </w:r>
          </w:p>
        </w:tc>
      </w:tr>
      <w:tr>
        <w:trPr>
          <w:cantSplit/>
        </w:trPr>
        <w:tc>
          <w:tcPr>
            <w:tcW w:type="dxa" w:w="2381"/>
          </w:tcPr>
          <w:p>
            <w:pPr>
              <w:spacing w:after="0"/>
            </w:pPr>
            <w:r>
              <w:rPr>
                <w:b w:val="0"/>
                <w:i w:val="0"/>
                <w:color w:val="0F1115"/>
                <w:sz w:val="21"/>
              </w:rPr>
              <w:t>Go/no-go</w:t>
            </w:r>
          </w:p>
        </w:tc>
        <w:tc>
          <w:tcPr>
            <w:tcW w:type="dxa" w:w="1928"/>
          </w:tcPr>
          <w:p>
            <w:pPr>
              <w:spacing w:after="0"/>
            </w:pPr>
            <w:r>
              <w:rPr>
                <w:b w:val="0"/>
                <w:i w:val="0"/>
                <w:color w:val="0F1115"/>
                <w:sz w:val="21"/>
              </w:rPr>
              <w:t>Thu 3 Dec 2026</w:t>
            </w:r>
          </w:p>
        </w:tc>
        <w:tc>
          <w:tcPr>
            <w:tcW w:type="dxa" w:w="1928"/>
          </w:tcPr>
          <w:p>
            <w:pPr>
              <w:spacing w:after="0"/>
            </w:pPr>
            <w:r>
              <w:rPr>
                <w:b w:val="0"/>
                <w:i w:val="0"/>
                <w:color w:val="0F1115"/>
                <w:sz w:val="21"/>
              </w:rPr>
              <w:t>Thu 3 Dec 2026</w:t>
            </w:r>
          </w:p>
        </w:tc>
        <w:tc>
          <w:tcPr>
            <w:tcW w:type="dxa" w:w="1474"/>
          </w:tcPr>
          <w:p>
            <w:pPr>
              <w:spacing w:after="0"/>
              <w:jc w:val="right"/>
            </w:pPr>
            <w:r>
              <w:rPr>
                <w:b w:val="0"/>
                <w:i w:val="0"/>
                <w:color w:val="0F1115"/>
                <w:sz w:val="21"/>
              </w:rPr>
              <w:t>0</w:t>
            </w:r>
          </w:p>
        </w:tc>
        <w:tc>
          <w:tcPr>
            <w:tcW w:type="dxa" w:w="1928"/>
            <w:shd w:val="clear" w:color="auto" w:fill="E4E7EA"/>
          </w:tcPr>
          <w:p>
            <w:pPr>
              <w:spacing w:after="0"/>
            </w:pPr>
            <w:r>
              <w:rPr>
                <w:b w:val="0"/>
                <w:i w:val="0"/>
                <w:color w:val="0F1115"/>
                <w:sz w:val="21"/>
              </w:rPr>
              <w:t>Green</w:t>
            </w:r>
          </w:p>
        </w:tc>
      </w:tr>
      <w:tr>
        <w:trPr>
          <w:cantSplit/>
        </w:trPr>
        <w:tc>
          <w:tcPr>
            <w:tcW w:type="dxa" w:w="2381"/>
          </w:tcPr>
          <w:p>
            <w:pPr>
              <w:spacing w:after="0"/>
            </w:pPr>
            <w:r>
              <w:rPr>
                <w:b w:val="0"/>
                <w:i w:val="0"/>
                <w:color w:val="0F1115"/>
                <w:sz w:val="21"/>
              </w:rPr>
              <w:t>Handover accepted</w:t>
            </w:r>
          </w:p>
        </w:tc>
        <w:tc>
          <w:tcPr>
            <w:tcW w:type="dxa" w:w="1928"/>
          </w:tcPr>
          <w:p>
            <w:pPr>
              <w:spacing w:after="0"/>
            </w:pPr>
            <w:r>
              <w:rPr>
                <w:b w:val="0"/>
                <w:i w:val="0"/>
                <w:color w:val="0F1115"/>
                <w:sz w:val="21"/>
              </w:rPr>
              <w:t>Fri 28 May 2027</w:t>
            </w:r>
          </w:p>
        </w:tc>
        <w:tc>
          <w:tcPr>
            <w:tcW w:type="dxa" w:w="1928"/>
          </w:tcPr>
          <w:p>
            <w:pPr>
              <w:spacing w:after="0"/>
            </w:pPr>
            <w:r>
              <w:rPr>
                <w:b w:val="0"/>
                <w:i w:val="0"/>
                <w:color w:val="0F1115"/>
                <w:sz w:val="21"/>
              </w:rPr>
              <w:t>Fri 28 May 2027</w:t>
            </w:r>
          </w:p>
        </w:tc>
        <w:tc>
          <w:tcPr>
            <w:tcW w:type="dxa" w:w="1474"/>
          </w:tcPr>
          <w:p>
            <w:pPr>
              <w:spacing w:after="0"/>
              <w:jc w:val="right"/>
            </w:pPr>
            <w:r>
              <w:rPr>
                <w:b w:val="0"/>
                <w:i w:val="0"/>
                <w:color w:val="0F1115"/>
                <w:sz w:val="21"/>
              </w:rPr>
              <w:t>0</w:t>
            </w:r>
          </w:p>
        </w:tc>
        <w:tc>
          <w:tcPr>
            <w:tcW w:type="dxa" w:w="1928"/>
            <w:shd w:val="clear" w:color="auto" w:fill="E4E7EA"/>
          </w:tcPr>
          <w:p>
            <w:pPr>
              <w:spacing w:after="0"/>
            </w:pPr>
            <w:r>
              <w:rPr>
                <w:b w:val="0"/>
                <w:i w:val="0"/>
                <w:color w:val="0F1115"/>
                <w:sz w:val="21"/>
              </w:rPr>
              <w:t>Green</w:t>
            </w:r>
          </w:p>
        </w:tc>
      </w:tr>
      <w:tr>
        <w:trPr>
          <w:cantSplit/>
        </w:trPr>
        <w:tc>
          <w:tcPr>
            <w:tcW w:type="dxa" w:w="2381"/>
          </w:tcPr>
          <w:p>
            <w:pPr>
              <w:spacing w:after="0"/>
            </w:pPr>
            <w:r>
              <w:rPr>
                <w:b w:val="0"/>
                <w:i w:val="0"/>
                <w:color w:val="0F1115"/>
                <w:sz w:val="21"/>
              </w:rPr>
              <w:t>Close</w:t>
            </w:r>
          </w:p>
        </w:tc>
        <w:tc>
          <w:tcPr>
            <w:tcW w:type="dxa" w:w="1928"/>
          </w:tcPr>
          <w:p>
            <w:pPr>
              <w:spacing w:after="0"/>
            </w:pPr>
            <w:r>
              <w:rPr>
                <w:b w:val="0"/>
                <w:i w:val="0"/>
                <w:color w:val="0F1115"/>
                <w:sz w:val="21"/>
              </w:rPr>
              <w:t>Wed 30 Jun 2027</w:t>
            </w:r>
          </w:p>
        </w:tc>
        <w:tc>
          <w:tcPr>
            <w:tcW w:type="dxa" w:w="1928"/>
          </w:tcPr>
          <w:p>
            <w:pPr>
              <w:spacing w:after="0"/>
            </w:pPr>
            <w:r>
              <w:rPr>
                <w:b w:val="0"/>
                <w:i w:val="0"/>
                <w:color w:val="0F1115"/>
                <w:sz w:val="21"/>
              </w:rPr>
              <w:t>Wed 30 Jun 2027</w:t>
            </w:r>
          </w:p>
        </w:tc>
        <w:tc>
          <w:tcPr>
            <w:tcW w:type="dxa" w:w="1474"/>
          </w:tcPr>
          <w:p>
            <w:pPr>
              <w:spacing w:after="0"/>
              <w:jc w:val="right"/>
            </w:pPr>
            <w:r>
              <w:rPr>
                <w:b w:val="0"/>
                <w:i w:val="0"/>
                <w:color w:val="0F1115"/>
                <w:sz w:val="21"/>
              </w:rPr>
              <w:t>0</w:t>
            </w:r>
          </w:p>
        </w:tc>
        <w:tc>
          <w:tcPr>
            <w:tcW w:type="dxa" w:w="1928"/>
            <w:shd w:val="clear" w:color="auto" w:fill="E4E7EA"/>
          </w:tcPr>
          <w:p>
            <w:pPr>
              <w:spacing w:after="0"/>
            </w:pPr>
            <w:r>
              <w:rPr>
                <w:b w:val="0"/>
                <w:i w:val="0"/>
                <w:color w:val="0F1115"/>
                <w:sz w:val="21"/>
              </w:rPr>
              <w:t>Green</w:t>
            </w:r>
          </w:p>
        </w:tc>
      </w:tr>
    </w:tbl>
    <w:p>
      <w:pPr>
        <w:pStyle w:val="Heading1"/>
      </w:pPr>
      <w:r>
        <w:rPr>
          <w:b/>
          <w:i w:val="0"/>
          <w:color w:val="0F1115"/>
          <w:sz w:val="26"/>
        </w:rPr>
        <w:t>5. Changes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794"/>
        <w:gridCol w:w="3175"/>
        <w:gridCol w:w="907"/>
        <w:gridCol w:w="794"/>
        <w:gridCol w:w="1814"/>
        <w:gridCol w:w="2154"/>
      </w:tblGrid>
      <w:tr>
        <w:trPr>
          <w:cantSplit/>
          <w:tblHeader/>
        </w:trPr>
        <w:tc>
          <w:tcPr>
            <w:tcW w:type="dxa" w:w="794"/>
            <w:shd w:val="clear" w:color="auto" w:fill="F4F5F6"/>
          </w:tcPr>
          <w:p>
            <w:pPr>
              <w:spacing w:after="0"/>
            </w:pPr>
            <w:r>
              <w:rPr>
                <w:b/>
                <w:i w:val="0"/>
                <w:color w:val="0F1115"/>
                <w:sz w:val="21"/>
              </w:rPr>
              <w:t>No.</w:t>
            </w:r>
          </w:p>
        </w:tc>
        <w:tc>
          <w:tcPr>
            <w:tcW w:type="dxa" w:w="3175"/>
            <w:shd w:val="clear" w:color="auto" w:fill="F4F5F6"/>
          </w:tcPr>
          <w:p>
            <w:pPr>
              <w:spacing w:after="0"/>
            </w:pPr>
            <w:r>
              <w:rPr>
                <w:b/>
                <w:i w:val="0"/>
                <w:color w:val="0F1115"/>
                <w:sz w:val="21"/>
              </w:rPr>
              <w:t>Change</w:t>
            </w:r>
          </w:p>
        </w:tc>
        <w:tc>
          <w:tcPr>
            <w:tcW w:type="dxa" w:w="907"/>
            <w:shd w:val="clear" w:color="auto" w:fill="F4F5F6"/>
          </w:tcPr>
          <w:p>
            <w:pPr>
              <w:spacing w:after="0"/>
            </w:pPr>
            <w:r>
              <w:rPr>
                <w:b/>
                <w:i w:val="0"/>
                <w:color w:val="0F1115"/>
                <w:sz w:val="21"/>
              </w:rPr>
              <w:t>Scope</w:t>
            </w:r>
          </w:p>
        </w:tc>
        <w:tc>
          <w:tcPr>
            <w:tcW w:type="dxa" w:w="794"/>
            <w:shd w:val="clear" w:color="auto" w:fill="F4F5F6"/>
          </w:tcPr>
          <w:p>
            <w:pPr>
              <w:spacing w:after="0"/>
            </w:pPr>
            <w:r>
              <w:rPr>
                <w:b/>
                <w:i w:val="0"/>
                <w:color w:val="0F1115"/>
                <w:sz w:val="21"/>
              </w:rPr>
              <w:t>Cost</w:t>
            </w:r>
          </w:p>
        </w:tc>
        <w:tc>
          <w:tcPr>
            <w:tcW w:type="dxa" w:w="1814"/>
            <w:shd w:val="clear" w:color="auto" w:fill="F4F5F6"/>
          </w:tcPr>
          <w:p>
            <w:pPr>
              <w:spacing w:after="0"/>
            </w:pPr>
            <w:r>
              <w:rPr>
                <w:b/>
                <w:i w:val="0"/>
                <w:color w:val="0F1115"/>
                <w:sz w:val="21"/>
              </w:rPr>
              <w:t>Date</w:t>
            </w:r>
          </w:p>
        </w:tc>
        <w:tc>
          <w:tcPr>
            <w:tcW w:type="dxa" w:w="2154"/>
            <w:shd w:val="clear" w:color="auto" w:fill="F4F5F6"/>
          </w:tcPr>
          <w:p>
            <w:pPr>
              <w:spacing w:after="0"/>
            </w:pPr>
            <w:r>
              <w:rPr>
                <w:b/>
                <w:i w:val="0"/>
                <w:color w:val="0F1115"/>
                <w:sz w:val="21"/>
              </w:rPr>
              <w:t>Status</w:t>
            </w:r>
          </w:p>
        </w:tc>
      </w:tr>
      <w:tr>
        <w:trPr>
          <w:cantSplit/>
        </w:trPr>
        <w:tc>
          <w:tcPr>
            <w:tcW w:type="dxa" w:w="794"/>
          </w:tcPr>
          <w:p>
            <w:pPr>
              <w:spacing w:after="0"/>
            </w:pPr>
            <w:r>
              <w:rPr>
                <w:b w:val="0"/>
                <w:i w:val="0"/>
                <w:color w:val="0F1115"/>
                <w:sz w:val="21"/>
              </w:rPr>
              <w:t>CR-5</w:t>
            </w:r>
          </w:p>
        </w:tc>
        <w:tc>
          <w:tcPr>
            <w:tcW w:type="dxa" w:w="3175"/>
          </w:tcPr>
          <w:p>
            <w:pPr>
              <w:spacing w:after="0"/>
            </w:pPr>
            <w:r>
              <w:rPr>
                <w:b w:val="0"/>
                <w:i w:val="0"/>
                <w:color w:val="0F1115"/>
                <w:sz w:val="21"/>
              </w:rPr>
              <w:t>Build complete moves from Fri 6 Nov to Fri 13 Nov 2026, so the full-copy test for C-04 can run once the second environment arrives on Mon 9 Nov.</w:t>
            </w:r>
          </w:p>
        </w:tc>
        <w:tc>
          <w:tcPr>
            <w:tcW w:type="dxa" w:w="907"/>
          </w:tcPr>
          <w:p>
            <w:pPr>
              <w:spacing w:after="0"/>
            </w:pPr>
            <w:r>
              <w:rPr>
                <w:b w:val="0"/>
                <w:i w:val="0"/>
                <w:color w:val="0F1115"/>
                <w:sz w:val="21"/>
              </w:rPr>
              <w:t>None</w:t>
            </w:r>
          </w:p>
        </w:tc>
        <w:tc>
          <w:tcPr>
            <w:tcW w:type="dxa" w:w="794"/>
          </w:tcPr>
          <w:p>
            <w:pPr>
              <w:spacing w:after="0"/>
              <w:jc w:val="right"/>
            </w:pPr>
            <w:r>
              <w:rPr>
                <w:b w:val="0"/>
                <w:i w:val="0"/>
                <w:color w:val="0F1115"/>
                <w:sz w:val="21"/>
              </w:rPr>
              <w:t>0</w:t>
            </w:r>
          </w:p>
        </w:tc>
        <w:tc>
          <w:tcPr>
            <w:tcW w:type="dxa" w:w="1814"/>
          </w:tcPr>
          <w:p>
            <w:pPr>
              <w:spacing w:after="0"/>
            </w:pPr>
            <w:r>
              <w:rPr>
                <w:b w:val="0"/>
                <w:i w:val="0"/>
                <w:color w:val="0F1115"/>
                <w:sz w:val="21"/>
              </w:rPr>
              <w:t>+5 working days</w:t>
            </w:r>
          </w:p>
        </w:tc>
        <w:tc>
          <w:tcPr>
            <w:tcW w:type="dxa" w:w="2154"/>
          </w:tcPr>
          <w:p>
            <w:pPr>
              <w:spacing w:after="0"/>
            </w:pPr>
            <w:r>
              <w:rPr>
                <w:b w:val="0"/>
                <w:i w:val="0"/>
                <w:color w:val="0F1115"/>
                <w:sz w:val="21"/>
              </w:rPr>
              <w:t>Raised Thu 22 Oct 2026. Anders (Engineering Manager) decides by Fri 6 Nov 2026.</w:t>
            </w:r>
          </w:p>
        </w:tc>
      </w:tr>
    </w:tbl>
    <w:p>
      <w:pPr>
        <w:pStyle w:val="Heading1"/>
      </w:pPr>
      <w:r>
        <w:rPr>
          <w:b/>
          <w:i w:val="0"/>
          <w:color w:val="0F1115"/>
          <w:sz w:val="26"/>
        </w:rPr>
        <w:t>6. Risks and issues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680"/>
        <w:gridCol w:w="3572"/>
        <w:gridCol w:w="2154"/>
        <w:gridCol w:w="3231"/>
      </w:tblGrid>
      <w:tr>
        <w:trPr>
          <w:cantSplit/>
          <w:tblHeader/>
        </w:trPr>
        <w:tc>
          <w:tcPr>
            <w:tcW w:type="dxa" w:w="680"/>
            <w:shd w:val="clear" w:color="auto" w:fill="F4F5F6"/>
          </w:tcPr>
          <w:p>
            <w:pPr>
              <w:spacing w:after="0"/>
            </w:pPr>
            <w:r>
              <w:rPr>
                <w:b/>
                <w:i w:val="0"/>
                <w:color w:val="0F1115"/>
                <w:sz w:val="21"/>
              </w:rPr>
              <w:t>Id</w:t>
            </w:r>
          </w:p>
        </w:tc>
        <w:tc>
          <w:tcPr>
            <w:tcW w:type="dxa" w:w="3572"/>
            <w:shd w:val="clear" w:color="auto" w:fill="F4F5F6"/>
          </w:tcPr>
          <w:p>
            <w:pPr>
              <w:spacing w:after="0"/>
            </w:pPr>
            <w:r>
              <w:rPr>
                <w:b/>
                <w:i w:val="0"/>
                <w:color w:val="0F1115"/>
                <w:sz w:val="21"/>
              </w:rPr>
              <w:t>What</w:t>
            </w:r>
          </w:p>
        </w:tc>
        <w:tc>
          <w:tcPr>
            <w:tcW w:type="dxa" w:w="2154"/>
            <w:shd w:val="clear" w:color="auto" w:fill="F4F5F6"/>
          </w:tcPr>
          <w:p>
            <w:pPr>
              <w:spacing w:after="0"/>
            </w:pPr>
            <w:r>
              <w:rPr>
                <w:b/>
                <w:i w:val="0"/>
                <w:color w:val="0F1115"/>
                <w:sz w:val="21"/>
              </w:rPr>
              <w:t>Owner</w:t>
            </w:r>
          </w:p>
        </w:tc>
        <w:tc>
          <w:tcPr>
            <w:tcW w:type="dxa" w:w="3231"/>
            <w:shd w:val="clear" w:color="auto" w:fill="F4F5F6"/>
          </w:tcPr>
          <w:p>
            <w:pPr>
              <w:spacing w:after="0"/>
            </w:pPr>
            <w:r>
              <w:rPr>
                <w:b/>
                <w:i w:val="0"/>
                <w:color w:val="0F1115"/>
                <w:sz w:val="21"/>
              </w:rPr>
              <w:t>Response</w:t>
            </w:r>
          </w:p>
        </w:tc>
      </w:tr>
      <w:tr>
        <w:trPr>
          <w:cantSplit/>
        </w:trPr>
        <w:tc>
          <w:tcPr>
            <w:tcW w:type="dxa" w:w="680"/>
          </w:tcPr>
          <w:p>
            <w:pPr>
              <w:spacing w:after="0"/>
            </w:pPr>
            <w:r>
              <w:rPr>
                <w:b w:val="0"/>
                <w:i w:val="0"/>
                <w:color w:val="0F1115"/>
                <w:sz w:val="21"/>
              </w:rPr>
              <w:t>R1</w:t>
            </w:r>
          </w:p>
        </w:tc>
        <w:tc>
          <w:tcPr>
            <w:tcW w:type="dxa" w:w="3572"/>
          </w:tcPr>
          <w:p>
            <w:pPr>
              <w:spacing w:after="0"/>
            </w:pPr>
            <w:r>
              <w:rPr>
                <w:b w:val="0"/>
                <w:i w:val="0"/>
                <w:color w:val="0F1115"/>
                <w:sz w:val="21"/>
              </w:rPr>
              <w:t>The tax rules arrive late and hold up the second wave</w:t>
            </w:r>
          </w:p>
        </w:tc>
        <w:tc>
          <w:tcPr>
            <w:tcW w:type="dxa" w:w="2154"/>
          </w:tcPr>
          <w:p>
            <w:pPr>
              <w:spacing w:after="0"/>
            </w:pPr>
            <w:r>
              <w:rPr>
                <w:b w:val="0"/>
                <w:i w:val="0"/>
                <w:color w:val="0F1115"/>
                <w:sz w:val="21"/>
              </w:rPr>
              <w:t>Hugo (Program Manager)</w:t>
            </w:r>
          </w:p>
        </w:tc>
        <w:tc>
          <w:tcPr>
            <w:tcW w:type="dxa" w:w="3231"/>
          </w:tcPr>
          <w:p>
            <w:pPr>
              <w:spacing w:after="0"/>
            </w:pPr>
            <w:r>
              <w:rPr>
                <w:b w:val="0"/>
                <w:i w:val="0"/>
                <w:color w:val="0F1115"/>
                <w:sz w:val="21"/>
              </w:rPr>
              <w:t>Build the invoice match against the draft rules. Hugo reports the rules' date at each program meeting.</w:t>
            </w:r>
          </w:p>
        </w:tc>
      </w:tr>
      <w:tr>
        <w:trPr>
          <w:cantSplit/>
        </w:trPr>
        <w:tc>
          <w:tcPr>
            <w:tcW w:type="dxa" w:w="680"/>
          </w:tcPr>
          <w:p>
            <w:pPr>
              <w:spacing w:after="0"/>
            </w:pPr>
            <w:r>
              <w:rPr>
                <w:b w:val="0"/>
                <w:i w:val="0"/>
                <w:color w:val="0F1115"/>
                <w:sz w:val="21"/>
              </w:rPr>
              <w:t>R3</w:t>
            </w:r>
          </w:p>
        </w:tc>
        <w:tc>
          <w:tcPr>
            <w:tcW w:type="dxa" w:w="3572"/>
          </w:tcPr>
          <w:p>
            <w:pPr>
              <w:spacing w:after="0"/>
            </w:pPr>
            <w:r>
              <w:rPr>
                <w:b w:val="0"/>
                <w:i w:val="0"/>
                <w:color w:val="0F1115"/>
                <w:sz w:val="21"/>
              </w:rPr>
              <w:t>The new engine's running cost (140,000 a year) is in no budget line</w:t>
            </w:r>
          </w:p>
        </w:tc>
        <w:tc>
          <w:tcPr>
            <w:tcW w:type="dxa" w:w="2154"/>
          </w:tcPr>
          <w:p>
            <w:pPr>
              <w:spacing w:after="0"/>
            </w:pPr>
            <w:r>
              <w:rPr>
                <w:b w:val="0"/>
                <w:i w:val="0"/>
                <w:color w:val="0F1115"/>
                <w:sz w:val="21"/>
              </w:rPr>
              <w:t>Rhys (Finance Operations Lead)</w:t>
            </w:r>
          </w:p>
        </w:tc>
        <w:tc>
          <w:tcPr>
            <w:tcW w:type="dxa" w:w="3231"/>
          </w:tcPr>
          <w:p>
            <w:pPr>
              <w:spacing w:after="0"/>
            </w:pPr>
            <w:r>
              <w:rPr>
                <w:b w:val="0"/>
                <w:i w:val="0"/>
                <w:color w:val="0F1115"/>
                <w:sz w:val="21"/>
              </w:rPr>
              <w:t>None yet</w:t>
            </w:r>
          </w:p>
        </w:tc>
      </w:tr>
      <w:tr>
        <w:trPr>
          <w:cantSplit/>
        </w:trPr>
        <w:tc>
          <w:tcPr>
            <w:tcW w:type="dxa" w:w="680"/>
          </w:tcPr>
          <w:p>
            <w:pPr>
              <w:spacing w:after="0"/>
            </w:pPr>
            <w:r>
              <w:rPr>
                <w:b w:val="0"/>
                <w:i w:val="0"/>
                <w:color w:val="0F1115"/>
                <w:sz w:val="21"/>
              </w:rPr>
              <w:t>R4</w:t>
            </w:r>
          </w:p>
        </w:tc>
        <w:tc>
          <w:tcPr>
            <w:tcW w:type="dxa" w:w="3572"/>
          </w:tcPr>
          <w:p>
            <w:pPr>
              <w:spacing w:after="0"/>
            </w:pPr>
            <w:r>
              <w:rPr>
                <w:b w:val="0"/>
                <w:i w:val="0"/>
                <w:color w:val="0F1115"/>
                <w:sz w:val="21"/>
              </w:rPr>
              <w:t>The three backend engineers can't all stay to 18 Jan 2027</w:t>
            </w:r>
          </w:p>
        </w:tc>
        <w:tc>
          <w:tcPr>
            <w:tcW w:type="dxa" w:w="2154"/>
          </w:tcPr>
          <w:p>
            <w:pPr>
              <w:spacing w:after="0"/>
            </w:pPr>
            <w:r>
              <w:rPr>
                <w:b w:val="0"/>
                <w:i w:val="0"/>
                <w:color w:val="0F1115"/>
                <w:sz w:val="21"/>
              </w:rPr>
              <w:t>Engineering managers</w:t>
            </w:r>
          </w:p>
        </w:tc>
        <w:tc>
          <w:tcPr>
            <w:tcW w:type="dxa" w:w="3231"/>
          </w:tcPr>
          <w:p>
            <w:pPr>
              <w:spacing w:after="0"/>
            </w:pPr>
            <w:r>
              <w:rPr>
                <w:b w:val="0"/>
                <w:i w:val="0"/>
                <w:color w:val="0F1115"/>
                <w:sz w:val="21"/>
              </w:rPr>
              <w:t>Anders asks each engineer's manager to confirm leave dates by 6 Nov 2026.</w:t>
            </w:r>
          </w:p>
        </w:tc>
      </w:tr>
      <w:tr>
        <w:trPr>
          <w:cantSplit/>
        </w:trPr>
        <w:tc>
          <w:tcPr>
            <w:tcW w:type="dxa" w:w="680"/>
          </w:tcPr>
          <w:p>
            <w:pPr>
              <w:spacing w:after="0"/>
            </w:pPr>
            <w:r>
              <w:rPr>
                <w:b w:val="0"/>
                <w:i w:val="0"/>
                <w:color w:val="0F1115"/>
                <w:sz w:val="21"/>
              </w:rPr>
              <w:t>A2</w:t>
            </w:r>
          </w:p>
        </w:tc>
        <w:tc>
          <w:tcPr>
            <w:tcW w:type="dxa" w:w="3572"/>
          </w:tcPr>
          <w:p>
            <w:pPr>
              <w:spacing w:after="0"/>
            </w:pPr>
            <w:r>
              <w:rPr>
                <w:b w:val="0"/>
                <w:i w:val="0"/>
                <w:color w:val="0F1115"/>
                <w:sz w:val="21"/>
              </w:rPr>
              <w:t>The test set of invoices covers every current plan and price list</w:t>
            </w:r>
          </w:p>
        </w:tc>
        <w:tc>
          <w:tcPr>
            <w:tcW w:type="dxa" w:w="2154"/>
          </w:tcPr>
          <w:p>
            <w:pPr>
              <w:spacing w:after="0"/>
            </w:pPr>
            <w:r>
              <w:rPr>
                <w:b w:val="0"/>
                <w:i w:val="0"/>
                <w:color w:val="0F1115"/>
                <w:sz w:val="21"/>
              </w:rPr>
              <w:t>Anders (Engineering Manager)</w:t>
            </w:r>
          </w:p>
        </w:tc>
        <w:tc>
          <w:tcPr>
            <w:tcW w:type="dxa" w:w="3231"/>
          </w:tcPr>
          <w:p>
            <w:pPr>
              <w:spacing w:after="0"/>
            </w:pPr>
            <w:r>
              <w:rPr>
                <w:b w:val="0"/>
                <w:i w:val="0"/>
                <w:color w:val="0F1115"/>
                <w:sz w:val="21"/>
              </w:rPr>
              <w:t>Anders compares the set with the price-list export.</w:t>
            </w:r>
          </w:p>
        </w:tc>
      </w:tr>
      <w:tr>
        <w:trPr>
          <w:cantSplit/>
        </w:trPr>
        <w:tc>
          <w:tcPr>
            <w:tcW w:type="dxa" w:w="680"/>
          </w:tcPr>
          <w:p>
            <w:pPr>
              <w:spacing w:after="0"/>
            </w:pPr>
            <w:r>
              <w:rPr>
                <w:b w:val="0"/>
                <w:i w:val="0"/>
                <w:color w:val="0F1115"/>
                <w:sz w:val="21"/>
              </w:rPr>
              <w:t>I1</w:t>
            </w:r>
          </w:p>
        </w:tc>
        <w:tc>
          <w:tcPr>
            <w:tcW w:type="dxa" w:w="3572"/>
          </w:tcPr>
          <w:p>
            <w:pPr>
              <w:spacing w:after="0"/>
            </w:pPr>
            <w:r>
              <w:rPr>
                <w:b w:val="0"/>
                <w:i w:val="0"/>
                <w:color w:val="0F1115"/>
                <w:sz w:val="21"/>
              </w:rPr>
              <w:t>The staging environment is booked by Data Migration Wave 2 until 20 Nov 2026</w:t>
            </w:r>
          </w:p>
        </w:tc>
        <w:tc>
          <w:tcPr>
            <w:tcW w:type="dxa" w:w="2154"/>
          </w:tcPr>
          <w:p>
            <w:pPr>
              <w:spacing w:after="0"/>
            </w:pPr>
            <w:r>
              <w:rPr>
                <w:b w:val="0"/>
                <w:i w:val="0"/>
                <w:color w:val="0F1115"/>
                <w:sz w:val="21"/>
              </w:rPr>
              <w:t>Anders (Engineering Manager)</w:t>
            </w:r>
          </w:p>
        </w:tc>
        <w:tc>
          <w:tcPr>
            <w:tcW w:type="dxa" w:w="3231"/>
          </w:tcPr>
          <w:p>
            <w:pPr>
              <w:spacing w:after="0"/>
            </w:pPr>
            <w:r>
              <w:rPr>
                <w:b w:val="0"/>
                <w:i w:val="0"/>
                <w:color w:val="0F1115"/>
                <w:sz w:val="21"/>
              </w:rPr>
              <w:t>Anders has asked Kofi for a second environment from 9 Nov 2026.</w:t>
            </w:r>
          </w:p>
        </w:tc>
      </w:tr>
      <w:tr>
        <w:trPr>
          <w:cantSplit/>
        </w:trPr>
        <w:tc>
          <w:tcPr>
            <w:tcW w:type="dxa" w:w="680"/>
          </w:tcPr>
          <w:p>
            <w:pPr>
              <w:spacing w:after="0"/>
            </w:pPr>
            <w:r>
              <w:rPr>
                <w:b w:val="0"/>
                <w:i w:val="0"/>
                <w:color w:val="0F1115"/>
                <w:sz w:val="21"/>
              </w:rPr>
              <w:t>X3</w:t>
            </w:r>
          </w:p>
        </w:tc>
        <w:tc>
          <w:tcPr>
            <w:tcW w:type="dxa" w:w="3572"/>
          </w:tcPr>
          <w:p>
            <w:pPr>
              <w:spacing w:after="0"/>
            </w:pPr>
            <w:r>
              <w:rPr>
                <w:b w:val="0"/>
                <w:i w:val="0"/>
                <w:color w:val="0F1115"/>
                <w:sz w:val="21"/>
              </w:rPr>
              <w:t>Last year's invoices exported from the old engine</w:t>
            </w:r>
          </w:p>
        </w:tc>
        <w:tc>
          <w:tcPr>
            <w:tcW w:type="dxa" w:w="2154"/>
          </w:tcPr>
          <w:p>
            <w:pPr>
              <w:spacing w:after="0"/>
            </w:pPr>
            <w:r>
              <w:rPr>
                <w:b w:val="0"/>
                <w:i w:val="0"/>
                <w:color w:val="0F1115"/>
                <w:sz w:val="21"/>
              </w:rPr>
              <w:t>Anders (Engineering Manager)</w:t>
            </w:r>
          </w:p>
        </w:tc>
        <w:tc>
          <w:tcPr>
            <w:tcW w:type="dxa" w:w="3231"/>
          </w:tcPr>
          <w:p>
            <w:pPr>
              <w:spacing w:after="0"/>
            </w:pPr>
            <w:r>
              <w:rPr>
                <w:b w:val="0"/>
                <w:i w:val="0"/>
                <w:color w:val="0F1115"/>
                <w:sz w:val="21"/>
              </w:rPr>
              <w:t>Rhys's team exports them once the staging environment is free.</w:t>
            </w:r>
          </w:p>
        </w:tc>
      </w:tr>
    </w:tbl>
    <w:p>
      <w:pPr>
        <w:pStyle w:val="Heading1"/>
      </w:pPr>
      <w:r>
        <w:rPr>
          <w:b/>
          <w:i w:val="0"/>
          <w:color w:val="0F1115"/>
          <w:sz w:val="26"/>
        </w:rPr>
        <w:t>7. Decisions needed</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5443"/>
        <w:gridCol w:w="2381"/>
        <w:gridCol w:w="1814"/>
      </w:tblGrid>
      <w:tr>
        <w:trPr>
          <w:cantSplit/>
          <w:tblHeader/>
        </w:trPr>
        <w:tc>
          <w:tcPr>
            <w:tcW w:type="dxa" w:w="5443"/>
            <w:shd w:val="clear" w:color="auto" w:fill="F4F5F6"/>
          </w:tcPr>
          <w:p>
            <w:pPr>
              <w:spacing w:after="0"/>
            </w:pPr>
            <w:r>
              <w:rPr>
                <w:b/>
                <w:i w:val="0"/>
                <w:color w:val="0F1115"/>
                <w:sz w:val="21"/>
              </w:rPr>
              <w:t>Decision needed</w:t>
            </w:r>
          </w:p>
        </w:tc>
        <w:tc>
          <w:tcPr>
            <w:tcW w:type="dxa" w:w="2381"/>
            <w:shd w:val="clear" w:color="auto" w:fill="F4F5F6"/>
          </w:tcPr>
          <w:p>
            <w:pPr>
              <w:spacing w:after="0"/>
            </w:pPr>
            <w:r>
              <w:rPr>
                <w:b/>
                <w:i w:val="0"/>
                <w:color w:val="0F1115"/>
                <w:sz w:val="21"/>
              </w:rPr>
              <w:t>From</w:t>
            </w:r>
          </w:p>
        </w:tc>
        <w:tc>
          <w:tcPr>
            <w:tcW w:type="dxa" w:w="1814"/>
            <w:shd w:val="clear" w:color="auto" w:fill="F4F5F6"/>
          </w:tcPr>
          <w:p>
            <w:pPr>
              <w:spacing w:after="0"/>
            </w:pPr>
            <w:r>
              <w:rPr>
                <w:b/>
                <w:i w:val="0"/>
                <w:color w:val="0F1115"/>
                <w:sz w:val="21"/>
              </w:rPr>
              <w:t>By</w:t>
            </w:r>
          </w:p>
        </w:tc>
      </w:tr>
      <w:tr>
        <w:trPr>
          <w:cantSplit/>
        </w:trPr>
        <w:tc>
          <w:tcPr>
            <w:tcW w:type="dxa" w:w="5443"/>
          </w:tcPr>
          <w:p>
            <w:pPr>
              <w:spacing w:after="0"/>
            </w:pPr>
            <w:r>
              <w:rPr>
                <w:b w:val="0"/>
                <w:i w:val="0"/>
                <w:color w:val="0F1115"/>
                <w:sz w:val="21"/>
              </w:rPr>
              <w:t>Chase Invoice Tax Rules so the tax rules for customers outside the US arrive by Mon 1 Feb 2027 (R1)</w:t>
            </w:r>
          </w:p>
        </w:tc>
        <w:tc>
          <w:tcPr>
            <w:tcW w:type="dxa" w:w="2381"/>
          </w:tcPr>
          <w:p>
            <w:pPr>
              <w:spacing w:after="0"/>
            </w:pPr>
            <w:r>
              <w:rPr>
                <w:b w:val="0"/>
                <w:i w:val="0"/>
                <w:color w:val="0F1115"/>
                <w:sz w:val="21"/>
              </w:rPr>
              <w:t>Hugo (Program Manager)</w:t>
            </w:r>
          </w:p>
        </w:tc>
        <w:tc>
          <w:tcPr>
            <w:tcW w:type="dxa" w:w="1814"/>
          </w:tcPr>
          <w:p>
            <w:pPr>
              <w:spacing w:after="0"/>
            </w:pPr>
            <w:r>
              <w:rPr>
                <w:b w:val="0"/>
                <w:i w:val="0"/>
                <w:color w:val="0F1115"/>
                <w:sz w:val="21"/>
              </w:rPr>
              <w:t>Mon 2 Nov 2026</w:t>
            </w:r>
          </w:p>
        </w:tc>
      </w:tr>
      <w:tr>
        <w:trPr>
          <w:cantSplit/>
        </w:trPr>
        <w:tc>
          <w:tcPr>
            <w:tcW w:type="dxa" w:w="5443"/>
          </w:tcPr>
          <w:p>
            <w:pPr>
              <w:spacing w:after="0"/>
            </w:pPr>
            <w:r>
              <w:rPr>
                <w:b w:val="0"/>
                <w:i w:val="0"/>
                <w:color w:val="0F1115"/>
                <w:sz w:val="21"/>
              </w:rPr>
              <w:t>Name who signs the old engine's hosting renewal, which renews on Sun 31 Jan 2027</w:t>
            </w:r>
          </w:p>
        </w:tc>
        <w:tc>
          <w:tcPr>
            <w:tcW w:type="dxa" w:w="2381"/>
          </w:tcPr>
          <w:p>
            <w:pPr>
              <w:spacing w:after="0"/>
            </w:pPr>
            <w:r>
              <w:rPr>
                <w:b w:val="0"/>
                <w:i w:val="0"/>
                <w:color w:val="0F1115"/>
                <w:sz w:val="21"/>
              </w:rPr>
              <w:t>Not yet named</w:t>
            </w:r>
          </w:p>
        </w:tc>
        <w:tc>
          <w:tcPr>
            <w:tcW w:type="dxa" w:w="1814"/>
          </w:tcPr>
          <w:p>
            <w:pPr>
              <w:spacing w:after="0"/>
            </w:pPr>
            <w:r>
              <w:rPr>
                <w:b w:val="0"/>
                <w:i w:val="0"/>
                <w:color w:val="0F1115"/>
                <w:sz w:val="21"/>
              </w:rPr>
              <w:t>Before 31 Jan</w:t>
            </w:r>
          </w:p>
        </w:tc>
      </w:tr>
      <w:tr>
        <w:trPr>
          <w:cantSplit/>
        </w:trPr>
        <w:tc>
          <w:tcPr>
            <w:tcW w:type="dxa" w:w="5443"/>
          </w:tcPr>
          <w:p>
            <w:pPr>
              <w:spacing w:after="0"/>
            </w:pPr>
            <w:r>
              <w:rPr>
                <w:b w:val="0"/>
                <w:i w:val="0"/>
                <w:color w:val="0F1115"/>
                <w:sz w:val="21"/>
              </w:rPr>
              <w:t>Confirm the second staging environment from Mon 9 Nov 2026 (I1)</w:t>
            </w:r>
          </w:p>
        </w:tc>
        <w:tc>
          <w:tcPr>
            <w:tcW w:type="dxa" w:w="2381"/>
          </w:tcPr>
          <w:p>
            <w:pPr>
              <w:spacing w:after="0"/>
            </w:pPr>
            <w:r>
              <w:rPr>
                <w:b w:val="0"/>
                <w:i w:val="0"/>
                <w:color w:val="0F1115"/>
                <w:sz w:val="21"/>
              </w:rPr>
              <w:t>Kofi (Delivery Lead)</w:t>
            </w:r>
          </w:p>
        </w:tc>
        <w:tc>
          <w:tcPr>
            <w:tcW w:type="dxa" w:w="1814"/>
          </w:tcPr>
          <w:p>
            <w:pPr>
              <w:spacing w:after="0"/>
            </w:pPr>
            <w:r>
              <w:rPr>
                <w:b w:val="0"/>
                <w:i w:val="0"/>
                <w:color w:val="0F1115"/>
                <w:sz w:val="21"/>
              </w:rPr>
              <w:t>Fri 6 Nov 2026</w:t>
            </w:r>
          </w:p>
        </w:tc>
      </w:tr>
    </w:tbl>
    <w:p>
      <w:pPr>
        <w:pStyle w:val="Heading1"/>
      </w:pPr>
      <w:r>
        <w:rPr>
          <w:b/>
          <w:i w:val="0"/>
          <w:color w:val="0F1115"/>
          <w:sz w:val="26"/>
        </w:rPr>
        <w:t>8. Coming up</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4535"/>
        <w:gridCol w:w="1928"/>
        <w:gridCol w:w="3175"/>
      </w:tblGrid>
      <w:tr>
        <w:trPr>
          <w:cantSplit/>
          <w:tblHeader/>
        </w:trPr>
        <w:tc>
          <w:tcPr>
            <w:tcW w:type="dxa" w:w="4535"/>
            <w:shd w:val="clear" w:color="auto" w:fill="F4F5F6"/>
          </w:tcPr>
          <w:p>
            <w:pPr>
              <w:spacing w:after="0"/>
            </w:pPr>
            <w:r>
              <w:rPr>
                <w:b/>
                <w:i w:val="0"/>
                <w:color w:val="0F1115"/>
                <w:sz w:val="21"/>
              </w:rPr>
              <w:t>What</w:t>
            </w:r>
          </w:p>
        </w:tc>
        <w:tc>
          <w:tcPr>
            <w:tcW w:type="dxa" w:w="1928"/>
            <w:shd w:val="clear" w:color="auto" w:fill="F4F5F6"/>
          </w:tcPr>
          <w:p>
            <w:pPr>
              <w:spacing w:after="0"/>
            </w:pPr>
            <w:r>
              <w:rPr>
                <w:b/>
                <w:i w:val="0"/>
                <w:color w:val="0F1115"/>
                <w:sz w:val="21"/>
              </w:rPr>
              <w:t>On</w:t>
            </w:r>
          </w:p>
        </w:tc>
        <w:tc>
          <w:tcPr>
            <w:tcW w:type="dxa" w:w="3175"/>
            <w:shd w:val="clear" w:color="auto" w:fill="F4F5F6"/>
          </w:tcPr>
          <w:p>
            <w:pPr>
              <w:spacing w:after="0"/>
            </w:pPr>
            <w:r>
              <w:rPr>
                <w:b/>
                <w:i w:val="0"/>
                <w:color w:val="0F1115"/>
                <w:sz w:val="21"/>
              </w:rPr>
              <w:t>Who</w:t>
            </w:r>
          </w:p>
        </w:tc>
      </w:tr>
      <w:tr>
        <w:trPr>
          <w:cantSplit/>
        </w:trPr>
        <w:tc>
          <w:tcPr>
            <w:tcW w:type="dxa" w:w="4535"/>
          </w:tcPr>
          <w:p>
            <w:pPr>
              <w:spacing w:after="0"/>
            </w:pPr>
            <w:r>
              <w:rPr>
                <w:b w:val="0"/>
                <w:i w:val="0"/>
                <w:color w:val="0F1115"/>
                <w:sz w:val="21"/>
              </w:rPr>
              <w:t>Three backend engineers start</w:t>
            </w:r>
          </w:p>
        </w:tc>
        <w:tc>
          <w:tcPr>
            <w:tcW w:type="dxa" w:w="1928"/>
          </w:tcPr>
          <w:p>
            <w:pPr>
              <w:spacing w:after="0"/>
            </w:pPr>
            <w:r>
              <w:rPr>
                <w:b w:val="0"/>
                <w:i w:val="0"/>
                <w:color w:val="0F1115"/>
                <w:sz w:val="21"/>
              </w:rPr>
              <w:t>Mon 26 Oct 2026</w:t>
            </w:r>
          </w:p>
        </w:tc>
        <w:tc>
          <w:tcPr>
            <w:tcW w:type="dxa" w:w="3175"/>
          </w:tcPr>
          <w:p>
            <w:pPr>
              <w:spacing w:after="0"/>
            </w:pPr>
            <w:r>
              <w:rPr>
                <w:b w:val="0"/>
                <w:i w:val="0"/>
                <w:color w:val="0F1115"/>
                <w:sz w:val="21"/>
              </w:rPr>
              <w:t>Anders (Engineering Manager)</w:t>
            </w:r>
          </w:p>
        </w:tc>
      </w:tr>
      <w:tr>
        <w:trPr>
          <w:cantSplit/>
        </w:trPr>
        <w:tc>
          <w:tcPr>
            <w:tcW w:type="dxa" w:w="4535"/>
          </w:tcPr>
          <w:p>
            <w:pPr>
              <w:spacing w:after="0"/>
            </w:pPr>
            <w:r>
              <w:rPr>
                <w:b w:val="0"/>
                <w:i w:val="0"/>
                <w:color w:val="0F1115"/>
                <w:sz w:val="21"/>
              </w:rPr>
              <w:t>Invoice Tax Rules starts</w:t>
            </w:r>
          </w:p>
        </w:tc>
        <w:tc>
          <w:tcPr>
            <w:tcW w:type="dxa" w:w="1928"/>
          </w:tcPr>
          <w:p>
            <w:pPr>
              <w:spacing w:after="0"/>
            </w:pPr>
            <w:r>
              <w:rPr>
                <w:b w:val="0"/>
                <w:i w:val="0"/>
                <w:color w:val="0F1115"/>
                <w:sz w:val="21"/>
              </w:rPr>
              <w:t>Mon 2 Nov 2026</w:t>
            </w:r>
          </w:p>
        </w:tc>
        <w:tc>
          <w:tcPr>
            <w:tcW w:type="dxa" w:w="3175"/>
          </w:tcPr>
          <w:p>
            <w:pPr>
              <w:spacing w:after="0"/>
            </w:pPr>
            <w:r>
              <w:rPr>
                <w:b w:val="0"/>
                <w:i w:val="0"/>
                <w:color w:val="0F1115"/>
                <w:sz w:val="21"/>
              </w:rPr>
              <w:t>Hugo (Program Manager)</w:t>
            </w:r>
          </w:p>
        </w:tc>
      </w:tr>
      <w:tr>
        <w:trPr>
          <w:cantSplit/>
        </w:trPr>
        <w:tc>
          <w:tcPr>
            <w:tcW w:type="dxa" w:w="4535"/>
          </w:tcPr>
          <w:p>
            <w:pPr>
              <w:spacing w:after="0"/>
            </w:pPr>
            <w:r>
              <w:rPr>
                <w:b w:val="0"/>
                <w:i w:val="0"/>
                <w:color w:val="0F1115"/>
                <w:sz w:val="21"/>
              </w:rPr>
              <w:t>Security and code review before Build complete</w:t>
            </w:r>
          </w:p>
        </w:tc>
        <w:tc>
          <w:tcPr>
            <w:tcW w:type="dxa" w:w="1928"/>
          </w:tcPr>
          <w:p>
            <w:pPr>
              <w:spacing w:after="0"/>
            </w:pPr>
            <w:r>
              <w:rPr>
                <w:b w:val="0"/>
                <w:i w:val="0"/>
                <w:color w:val="0F1115"/>
                <w:sz w:val="21"/>
              </w:rPr>
              <w:t>Tue 3 Nov 2026</w:t>
            </w:r>
          </w:p>
        </w:tc>
        <w:tc>
          <w:tcPr>
            <w:tcW w:type="dxa" w:w="3175"/>
          </w:tcPr>
          <w:p>
            <w:pPr>
              <w:spacing w:after="0"/>
            </w:pPr>
            <w:r>
              <w:rPr>
                <w:b w:val="0"/>
                <w:i w:val="0"/>
                <w:color w:val="0F1115"/>
                <w:sz w:val="21"/>
              </w:rPr>
              <w:t>Imani (Security Lead)</w:t>
            </w:r>
          </w:p>
        </w:tc>
      </w:tr>
      <w:tr>
        <w:trPr>
          <w:cantSplit/>
        </w:trPr>
        <w:tc>
          <w:tcPr>
            <w:tcW w:type="dxa" w:w="4535"/>
          </w:tcPr>
          <w:p>
            <w:pPr>
              <w:spacing w:after="0"/>
            </w:pPr>
            <w:r>
              <w:rPr>
                <w:b w:val="0"/>
                <w:i w:val="0"/>
                <w:color w:val="0F1115"/>
                <w:sz w:val="21"/>
              </w:rPr>
              <w:t>Program board</w:t>
            </w:r>
          </w:p>
        </w:tc>
        <w:tc>
          <w:tcPr>
            <w:tcW w:type="dxa" w:w="1928"/>
          </w:tcPr>
          <w:p>
            <w:pPr>
              <w:spacing w:after="0"/>
            </w:pPr>
            <w:r>
              <w:rPr>
                <w:b w:val="0"/>
                <w:i w:val="0"/>
                <w:color w:val="0F1115"/>
                <w:sz w:val="21"/>
              </w:rPr>
              <w:t>Thu 5 Nov 2026</w:t>
            </w:r>
          </w:p>
        </w:tc>
        <w:tc>
          <w:tcPr>
            <w:tcW w:type="dxa" w:w="3175"/>
          </w:tcPr>
          <w:p>
            <w:pPr>
              <w:spacing w:after="0"/>
            </w:pPr>
            <w:r>
              <w:rPr>
                <w:b w:val="0"/>
                <w:i w:val="0"/>
                <w:color w:val="0F1115"/>
                <w:sz w:val="21"/>
              </w:rPr>
              <w:t>Hugo (Program Manager)</w:t>
            </w:r>
          </w:p>
        </w:tc>
      </w:tr>
    </w:tbl>
    <w:p>
      <w:pPr>
        <w:pStyle w:val="Heading1"/>
      </w:pPr>
      <w:r>
        <w:rPr>
          <w:b/>
          <w:i w:val="0"/>
          <w:color w:val="0F1115"/>
          <w:sz w:val="26"/>
        </w:rPr>
        <w:t>9. Approval</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041"/>
        <w:gridCol w:w="4649"/>
        <w:gridCol w:w="2948"/>
      </w:tblGrid>
      <w:tr>
        <w:trPr>
          <w:cantSplit/>
          <w:tblHeader/>
        </w:trPr>
        <w:tc>
          <w:tcPr>
            <w:tcW w:type="dxa" w:w="2041"/>
            <w:shd w:val="clear" w:color="auto" w:fill="F4F5F6"/>
          </w:tcPr>
          <w:p>
            <w:pPr>
              <w:spacing w:after="0"/>
            </w:pPr>
            <w:r>
              <w:rPr>
                <w:b/>
                <w:i w:val="0"/>
                <w:color w:val="0F1115"/>
                <w:sz w:val="21"/>
              </w:rPr>
              <w:t>Step</w:t>
            </w:r>
          </w:p>
        </w:tc>
        <w:tc>
          <w:tcPr>
            <w:tcW w:type="dxa" w:w="4649"/>
            <w:shd w:val="clear" w:color="auto" w:fill="F4F5F6"/>
          </w:tcPr>
          <w:p>
            <w:pPr>
              <w:spacing w:after="0"/>
            </w:pPr>
            <w:r>
              <w:rPr>
                <w:b/>
                <w:i w:val="0"/>
                <w:color w:val="0F1115"/>
                <w:sz w:val="21"/>
              </w:rPr>
              <w:t>Name</w:t>
            </w:r>
          </w:p>
        </w:tc>
        <w:tc>
          <w:tcPr>
            <w:tcW w:type="dxa" w:w="2948"/>
            <w:shd w:val="clear" w:color="auto" w:fill="F4F5F6"/>
          </w:tcPr>
          <w:p>
            <w:pPr>
              <w:spacing w:after="0"/>
            </w:pPr>
            <w:r>
              <w:rPr>
                <w:b/>
                <w:i w:val="0"/>
                <w:color w:val="0F1115"/>
                <w:sz w:val="21"/>
              </w:rPr>
              <w:t>Day</w:t>
            </w:r>
          </w:p>
        </w:tc>
      </w:tr>
      <w:tr>
        <w:trPr>
          <w:cantSplit/>
        </w:trPr>
        <w:tc>
          <w:tcPr>
            <w:tcW w:type="dxa" w:w="2041"/>
          </w:tcPr>
          <w:p>
            <w:pPr>
              <w:spacing w:after="0"/>
            </w:pPr>
            <w:r>
              <w:rPr>
                <w:b w:val="0"/>
                <w:i w:val="0"/>
                <w:color w:val="0F1115"/>
                <w:sz w:val="21"/>
              </w:rPr>
              <w:t>Prepared by</w:t>
            </w:r>
          </w:p>
        </w:tc>
        <w:tc>
          <w:tcPr>
            <w:tcW w:type="dxa" w:w="4649"/>
          </w:tcPr>
          <w:p>
            <w:pPr>
              <w:spacing w:after="0"/>
            </w:pPr>
            <w:r>
              <w:rPr>
                <w:b w:val="0"/>
                <w:i w:val="0"/>
                <w:color w:val="0F1115"/>
                <w:sz w:val="21"/>
              </w:rPr>
              <w:t>Anders (Engineering Manager)</w:t>
            </w:r>
          </w:p>
        </w:tc>
        <w:tc>
          <w:tcPr>
            <w:tcW w:type="dxa" w:w="2948"/>
          </w:tcPr>
          <w:p>
            <w:pPr>
              <w:spacing w:after="0"/>
            </w:pPr>
            <w:r>
              <w:rPr>
                <w:b w:val="0"/>
                <w:i w:val="0"/>
                <w:color w:val="0F1115"/>
                <w:sz w:val="21"/>
              </w:rPr>
              <w:t>Thu 22 Oct 2026</w:t>
            </w:r>
          </w:p>
        </w:tc>
      </w:tr>
      <w:tr>
        <w:trPr>
          <w:cantSplit/>
        </w:trPr>
        <w:tc>
          <w:tcPr>
            <w:tcW w:type="dxa" w:w="2041"/>
          </w:tcPr>
          <w:p>
            <w:pPr>
              <w:spacing w:after="0"/>
            </w:pPr>
            <w:r>
              <w:rPr>
                <w:b w:val="0"/>
                <w:i w:val="0"/>
                <w:color w:val="0F1115"/>
                <w:sz w:val="21"/>
              </w:rPr>
              <w:t>Approved by</w:t>
            </w:r>
          </w:p>
        </w:tc>
        <w:tc>
          <w:tcPr>
            <w:tcW w:type="dxa" w:w="4649"/>
          </w:tcPr>
          <w:p>
            <w:pPr>
              <w:spacing w:after="0"/>
            </w:pPr>
            <w:r>
              <w:rPr>
                <w:b w:val="0"/>
                <w:i w:val="0"/>
                <w:color w:val="0F1115"/>
                <w:sz w:val="21"/>
              </w:rPr>
              <w:t>Anders (Engineering Manager)</w:t>
            </w:r>
          </w:p>
        </w:tc>
        <w:tc>
          <w:tcPr>
            <w:tcW w:type="dxa" w:w="2948"/>
          </w:tcPr>
          <w:p>
            <w:pPr>
              <w:spacing w:after="0"/>
            </w:pPr>
            <w:r>
              <w:rPr>
                <w:b w:val="0"/>
                <w:i w:val="0"/>
                <w:color w:val="0F1115"/>
                <w:sz w:val="21"/>
              </w:rPr>
              <w:t>Thu 22 Oct 2026</w:t>
            </w:r>
          </w:p>
        </w:tc>
      </w:tr>
      <w:tr>
        <w:trPr>
          <w:cantSplit/>
        </w:trPr>
        <w:tc>
          <w:tcPr>
            <w:tcW w:type="dxa" w:w="2041"/>
          </w:tcPr>
          <w:p>
            <w:pPr>
              <w:spacing w:after="0"/>
            </w:pPr>
            <w:r>
              <w:rPr>
                <w:b w:val="0"/>
                <w:i w:val="0"/>
                <w:color w:val="0F1115"/>
                <w:sz w:val="21"/>
              </w:rPr>
              <w:t>Sent to</w:t>
            </w:r>
          </w:p>
        </w:tc>
        <w:tc>
          <w:tcPr>
            <w:tcW w:type="dxa" w:w="4649"/>
          </w:tcPr>
          <w:p>
            <w:pPr>
              <w:spacing w:after="0"/>
            </w:pPr>
            <w:r>
              <w:rPr>
                <w:b w:val="0"/>
                <w:i w:val="0"/>
                <w:color w:val="0F1115"/>
                <w:sz w:val="21"/>
              </w:rPr>
              <w:t>Hugo (Program Manager)</w:t>
            </w:r>
          </w:p>
        </w:tc>
        <w:tc>
          <w:tcPr>
            <w:tcW w:type="dxa" w:w="2948"/>
          </w:tcPr>
          <w:p>
            <w:pPr>
              <w:spacing w:after="0"/>
            </w:pPr>
            <w:r>
              <w:rPr>
                <w:b w:val="0"/>
                <w:i w:val="0"/>
                <w:color w:val="0F1115"/>
                <w:sz w:val="21"/>
              </w:rPr>
              <w:t>Thu 22 Oct 2026</w:t>
            </w:r>
          </w:p>
        </w:tc>
      </w:tr>
    </w:tbl>
    <w:p>
      <w:pPr>
        <w:spacing w:after="0"/>
      </w:pPr>
      <w:r>
        <w:br w:type="page"/>
      </w:r>
    </w:p>
    <w:p>
      <w:pPr>
        <w:pStyle w:val="Heading1"/>
      </w:pPr>
      <w:r>
        <w:rPr>
          <w:b/>
          <w:i w:val="0"/>
          <w:color w:val="0F1115"/>
          <w:sz w:val="26"/>
        </w:rPr>
        <w:t>Review questions</w:t>
      </w:r>
    </w:p>
    <w:p>
      <w:pPr>
        <w:keepNext w:val="0"/>
        <w:spacing w:after="80" w:before="0"/>
      </w:pPr>
      <w:r>
        <w:rPr>
          <w:b w:val="0"/>
          <w:i w:val="0"/>
          <w:color w:val="0F1115"/>
          <w:sz w:val="21"/>
        </w:rPr>
        <w:t>The Owner asks these eight questions before approving, and a reviewer asks them before a gate. Anything that isn't a yes is fixed before the report goes.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454"/>
        <w:gridCol w:w="3515"/>
        <w:gridCol w:w="5669"/>
      </w:tblGrid>
      <w:tr>
        <w:trPr>
          <w:cantSplit/>
          <w:tblHeader/>
        </w:trPr>
        <w:tc>
          <w:tcPr>
            <w:tcW w:type="dxa" w:w="454"/>
            <w:shd w:val="clear" w:color="auto" w:fill="F4F5F6"/>
          </w:tcPr>
          <w:p>
            <w:pPr>
              <w:spacing w:after="0"/>
            </w:pPr>
            <w:r>
              <w:rPr>
                <w:b/>
                <w:i w:val="0"/>
                <w:color w:val="0F1115"/>
                <w:sz w:val="21"/>
              </w:rPr>
              <w:t>#</w:t>
            </w:r>
          </w:p>
        </w:tc>
        <w:tc>
          <w:tcPr>
            <w:tcW w:type="dxa" w:w="3515"/>
            <w:shd w:val="clear" w:color="auto" w:fill="F4F5F6"/>
          </w:tcPr>
          <w:p>
            <w:pPr>
              <w:spacing w:after="0"/>
            </w:pPr>
            <w:r>
              <w:rPr>
                <w:b/>
                <w:i w:val="0"/>
                <w:color w:val="0F1115"/>
                <w:sz w:val="21"/>
              </w:rPr>
              <w:t>Question</w:t>
            </w:r>
          </w:p>
        </w:tc>
        <w:tc>
          <w:tcPr>
            <w:tcW w:type="dxa" w:w="5669"/>
            <w:shd w:val="clear" w:color="auto" w:fill="F4F5F6"/>
          </w:tcPr>
          <w:p>
            <w:pPr>
              <w:spacing w:after="0"/>
            </w:pPr>
            <w:r>
              <w:rPr>
                <w:b/>
                <w:i w:val="0"/>
                <w:color w:val="0F1115"/>
                <w:sz w:val="21"/>
              </w:rPr>
              <w:t>Yes when</w:t>
            </w:r>
          </w:p>
        </w:tc>
      </w:tr>
      <w:tr>
        <w:trPr>
          <w:cantSplit/>
        </w:trPr>
        <w:tc>
          <w:tcPr>
            <w:tcW w:type="dxa" w:w="454"/>
          </w:tcPr>
          <w:p>
            <w:pPr>
              <w:spacing w:after="0"/>
            </w:pPr>
            <w:r>
              <w:rPr>
                <w:b w:val="0"/>
                <w:i w:val="0"/>
                <w:color w:val="0F1115"/>
                <w:sz w:val="21"/>
              </w:rPr>
              <w:t>1</w:t>
            </w:r>
          </w:p>
        </w:tc>
        <w:tc>
          <w:tcPr>
            <w:tcW w:type="dxa" w:w="3515"/>
          </w:tcPr>
          <w:p>
            <w:pPr>
              <w:spacing w:after="0"/>
            </w:pPr>
            <w:r>
              <w:rPr>
                <w:b/>
                <w:i w:val="0"/>
                <w:color w:val="0F1115"/>
                <w:sz w:val="21"/>
              </w:rPr>
              <w:t xml:space="preserve">Same names. </w:t>
            </w:r>
            <w:r>
              <w:rPr>
                <w:b w:val="0"/>
                <w:i w:val="0"/>
                <w:color w:val="0F1115"/>
                <w:sz w:val="21"/>
              </w:rPr>
              <w:t>Do the names match the Register, the stakeholders file and the gate map?</w:t>
            </w:r>
          </w:p>
        </w:tc>
        <w:tc>
          <w:tcPr>
            <w:tcW w:type="dxa" w:w="5669"/>
          </w:tcPr>
          <w:p>
            <w:pPr>
              <w:spacing w:after="0"/>
            </w:pPr>
            <w:r>
              <w:rPr>
                <w:b w:val="0"/>
                <w:i w:val="0"/>
                <w:color w:val="0F1115"/>
                <w:sz w:val="21"/>
              </w:rPr>
              <w:t>Name, Sits under and Owner are the Register's, letter for letter, and Planned finish is the Register's date. Sponsor is the program row's, or Not yet named when that's blank. Reader is the stakeholders file's reader for this report. Every gate in Progress and Dates is one of the gate map's seven, and every other Dates row has the plan's name for it, letter for letter.</w:t>
            </w:r>
          </w:p>
        </w:tc>
      </w:tr>
      <w:tr>
        <w:trPr>
          <w:cantSplit/>
        </w:trPr>
        <w:tc>
          <w:tcPr>
            <w:tcW w:type="dxa" w:w="454"/>
          </w:tcPr>
          <w:p>
            <w:pPr>
              <w:spacing w:after="0"/>
            </w:pPr>
            <w:r>
              <w:rPr>
                <w:b w:val="0"/>
                <w:i w:val="0"/>
                <w:color w:val="0F1115"/>
                <w:sz w:val="21"/>
              </w:rPr>
              <w:t>2</w:t>
            </w:r>
          </w:p>
        </w:tc>
        <w:tc>
          <w:tcPr>
            <w:tcW w:type="dxa" w:w="3515"/>
          </w:tcPr>
          <w:p>
            <w:pPr>
              <w:spacing w:after="0"/>
            </w:pPr>
            <w:r>
              <w:rPr>
                <w:b/>
                <w:i w:val="0"/>
                <w:color w:val="0F1115"/>
                <w:sz w:val="21"/>
              </w:rPr>
              <w:t xml:space="preserve">The readings follow the rules. </w:t>
            </w:r>
            <w:r>
              <w:rPr>
                <w:b w:val="0"/>
                <w:i w:val="0"/>
                <w:color w:val="0F1115"/>
                <w:sz w:val="21"/>
              </w:rPr>
              <w:t>Is each reading what the rules give?</w:t>
            </w:r>
          </w:p>
        </w:tc>
        <w:tc>
          <w:tcPr>
            <w:tcW w:type="dxa" w:w="5669"/>
          </w:tcPr>
          <w:p>
            <w:pPr>
              <w:spacing w:after="0"/>
            </w:pPr>
            <w:r>
              <w:rPr>
                <w:b w:val="0"/>
                <w:i w:val="0"/>
                <w:color w:val="0F1115"/>
                <w:sz w:val="21"/>
              </w:rPr>
              <w:t>Date, Cost and Scope are what the rules in Before you start give from Money, Dates and Changes, read against Baselined as it stands. Each Reading in Dates follows the same rule. Overall is the worst of the three. Each Last week is what last week's report has under This week.</w:t>
            </w:r>
          </w:p>
        </w:tc>
      </w:tr>
      <w:tr>
        <w:trPr>
          <w:cantSplit/>
        </w:trPr>
        <w:tc>
          <w:tcPr>
            <w:tcW w:type="dxa" w:w="454"/>
          </w:tcPr>
          <w:p>
            <w:pPr>
              <w:spacing w:after="0"/>
            </w:pPr>
            <w:r>
              <w:rPr>
                <w:b w:val="0"/>
                <w:i w:val="0"/>
                <w:color w:val="0F1115"/>
                <w:sz w:val="21"/>
              </w:rPr>
              <w:t>3</w:t>
            </w:r>
          </w:p>
        </w:tc>
        <w:tc>
          <w:tcPr>
            <w:tcW w:type="dxa" w:w="3515"/>
          </w:tcPr>
          <w:p>
            <w:pPr>
              <w:spacing w:after="0"/>
            </w:pPr>
            <w:r>
              <w:rPr>
                <w:b/>
                <w:i w:val="0"/>
                <w:color w:val="0F1115"/>
                <w:sz w:val="21"/>
              </w:rPr>
              <w:t xml:space="preserve">The numbers add up. </w:t>
            </w:r>
            <w:r>
              <w:rPr>
                <w:b w:val="0"/>
                <w:i w:val="0"/>
                <w:color w:val="0F1115"/>
                <w:sz w:val="21"/>
              </w:rPr>
              <w:t>Do the figures and the day counts work out?</w:t>
            </w:r>
          </w:p>
        </w:tc>
        <w:tc>
          <w:tcPr>
            <w:tcW w:type="dxa" w:w="5669"/>
          </w:tcPr>
          <w:p>
            <w:pPr>
              <w:spacing w:after="0"/>
            </w:pPr>
            <w:r>
              <w:rPr>
                <w:b w:val="0"/>
                <w:i w:val="0"/>
                <w:color w:val="0F1115"/>
                <w:sz w:val="21"/>
              </w:rPr>
              <w:t>Share spent is Spent to date over the Share, as a whole percent, in both columns. Over the share is Forecast at completion minus the Share. Spent to date isn't below Last week, and each Last week figure is last week's report's. Each Working days late counts Monday to Friday from Baselined to Forecast. Every printed weekday matches its date.</w:t>
            </w:r>
          </w:p>
        </w:tc>
      </w:tr>
      <w:tr>
        <w:trPr>
          <w:cantSplit/>
        </w:trPr>
        <w:tc>
          <w:tcPr>
            <w:tcW w:type="dxa" w:w="454"/>
          </w:tcPr>
          <w:p>
            <w:pPr>
              <w:spacing w:after="0"/>
            </w:pPr>
            <w:r>
              <w:rPr>
                <w:b w:val="0"/>
                <w:i w:val="0"/>
                <w:color w:val="0F1115"/>
                <w:sz w:val="21"/>
              </w:rPr>
              <w:t>4</w:t>
            </w:r>
          </w:p>
        </w:tc>
        <w:tc>
          <w:tcPr>
            <w:tcW w:type="dxa" w:w="3515"/>
          </w:tcPr>
          <w:p>
            <w:pPr>
              <w:spacing w:after="0"/>
            </w:pPr>
            <w:r>
              <w:rPr>
                <w:b/>
                <w:i w:val="0"/>
                <w:color w:val="0F1115"/>
                <w:sz w:val="21"/>
              </w:rPr>
              <w:t xml:space="preserve">Nothing is left out. </w:t>
            </w:r>
            <w:r>
              <w:rPr>
                <w:b w:val="0"/>
                <w:i w:val="0"/>
                <w:color w:val="0F1115"/>
                <w:sz w:val="21"/>
              </w:rPr>
              <w:t>Is every late date, open change and picked RAID line in the report?</w:t>
            </w:r>
          </w:p>
        </w:tc>
        <w:tc>
          <w:tcPr>
            <w:tcW w:type="dxa" w:w="5669"/>
          </w:tcPr>
          <w:p>
            <w:pPr>
              <w:spacing w:after="0"/>
            </w:pPr>
            <w:r>
              <w:rPr>
                <w:b w:val="0"/>
                <w:i w:val="0"/>
                <w:color w:val="0F1115"/>
                <w:sz w:val="21"/>
              </w:rPr>
              <w:t>Every row of the plan whose Forecast is later than its Baselined date is in Dates with the same two dates, and every gate still ahead has a row. A late gate has a change in Changes. Every change raised or decided since last week, and every one still raised, is in Changes. Every open RAID line the rule in Before you start picks is in Risks and issues.</w:t>
            </w:r>
          </w:p>
        </w:tc>
      </w:tr>
      <w:tr>
        <w:trPr>
          <w:cantSplit/>
        </w:trPr>
        <w:tc>
          <w:tcPr>
            <w:tcW w:type="dxa" w:w="454"/>
          </w:tcPr>
          <w:p>
            <w:pPr>
              <w:spacing w:after="0"/>
            </w:pPr>
            <w:r>
              <w:rPr>
                <w:b w:val="0"/>
                <w:i w:val="0"/>
                <w:color w:val="0F1115"/>
                <w:sz w:val="21"/>
              </w:rPr>
              <w:t>5</w:t>
            </w:r>
          </w:p>
        </w:tc>
        <w:tc>
          <w:tcPr>
            <w:tcW w:type="dxa" w:w="3515"/>
          </w:tcPr>
          <w:p>
            <w:pPr>
              <w:spacing w:after="0"/>
            </w:pPr>
            <w:r>
              <w:rPr>
                <w:b/>
                <w:i w:val="0"/>
                <w:color w:val="0F1115"/>
                <w:sz w:val="21"/>
              </w:rPr>
              <w:t xml:space="preserve">Money stays with the share. </w:t>
            </w:r>
            <w:r>
              <w:rPr>
                <w:b w:val="0"/>
                <w:i w:val="0"/>
                <w:color w:val="0F1115"/>
                <w:sz w:val="21"/>
              </w:rPr>
              <w:t>Do the money figures count this project's cost lines only?</w:t>
            </w:r>
          </w:p>
        </w:tc>
        <w:tc>
          <w:tcPr>
            <w:tcW w:type="dxa" w:w="5669"/>
          </w:tcPr>
          <w:p>
            <w:pPr>
              <w:spacing w:after="0"/>
            </w:pPr>
            <w:r>
              <w:rPr>
                <w:b w:val="0"/>
                <w:i w:val="0"/>
                <w:color w:val="0F1115"/>
                <w:sz w:val="21"/>
              </w:rPr>
              <w:t>Spent to date, Forecast at completion and the Share count the charter's cost lines only, with nothing after cutover. Forecast given by and Spent given by each name one person and a day. Spent to date isn't above Forecast at completion.</w:t>
            </w:r>
          </w:p>
        </w:tc>
      </w:tr>
      <w:tr>
        <w:trPr>
          <w:cantSplit/>
        </w:trPr>
        <w:tc>
          <w:tcPr>
            <w:tcW w:type="dxa" w:w="454"/>
          </w:tcPr>
          <w:p>
            <w:pPr>
              <w:spacing w:after="0"/>
            </w:pPr>
            <w:r>
              <w:rPr>
                <w:b w:val="0"/>
                <w:i w:val="0"/>
                <w:color w:val="0F1115"/>
                <w:sz w:val="21"/>
              </w:rPr>
              <w:t>6</w:t>
            </w:r>
          </w:p>
        </w:tc>
        <w:tc>
          <w:tcPr>
            <w:tcW w:type="dxa" w:w="3515"/>
          </w:tcPr>
          <w:p>
            <w:pPr>
              <w:spacing w:after="0"/>
            </w:pPr>
            <w:r>
              <w:rPr>
                <w:b/>
                <w:i w:val="0"/>
                <w:color w:val="0F1115"/>
                <w:sz w:val="21"/>
              </w:rPr>
              <w:t xml:space="preserve">A person behind each colour. </w:t>
            </w:r>
            <w:r>
              <w:rPr>
                <w:b w:val="0"/>
                <w:i w:val="0"/>
                <w:color w:val="0F1115"/>
                <w:sz w:val="21"/>
              </w:rPr>
              <w:t>Does every Amber or Red line name the person who acts?</w:t>
            </w:r>
          </w:p>
        </w:tc>
        <w:tc>
          <w:tcPr>
            <w:tcW w:type="dxa" w:w="5669"/>
          </w:tcPr>
          <w:p>
            <w:pPr>
              <w:spacing w:after="0"/>
            </w:pPr>
            <w:r>
              <w:rPr>
                <w:b w:val="0"/>
                <w:i w:val="0"/>
                <w:color w:val="0F1115"/>
                <w:sz w:val="21"/>
              </w:rPr>
              <w:t>Every Amber or Red line of Date, Cost and Scope has a Why that names one person. Overall's Why names the line that sets it and the person who acts. When Forecast at completion is over the Share by more than the owner's limit, Cost's Why names who decides. Whether each Why is true is for a person to judge.</w:t>
            </w:r>
          </w:p>
        </w:tc>
      </w:tr>
      <w:tr>
        <w:trPr>
          <w:cantSplit/>
        </w:trPr>
        <w:tc>
          <w:tcPr>
            <w:tcW w:type="dxa" w:w="454"/>
          </w:tcPr>
          <w:p>
            <w:pPr>
              <w:spacing w:after="0"/>
            </w:pPr>
            <w:r>
              <w:rPr>
                <w:b w:val="0"/>
                <w:i w:val="0"/>
                <w:color w:val="0F1115"/>
                <w:sz w:val="21"/>
              </w:rPr>
              <w:t>7</w:t>
            </w:r>
          </w:p>
        </w:tc>
        <w:tc>
          <w:tcPr>
            <w:tcW w:type="dxa" w:w="3515"/>
          </w:tcPr>
          <w:p>
            <w:pPr>
              <w:spacing w:after="0"/>
            </w:pPr>
            <w:r>
              <w:rPr>
                <w:b/>
                <w:i w:val="0"/>
                <w:color w:val="0F1115"/>
                <w:sz w:val="21"/>
              </w:rPr>
              <w:t xml:space="preserve">Someone can decide. </w:t>
            </w:r>
            <w:r>
              <w:rPr>
                <w:b w:val="0"/>
                <w:i w:val="0"/>
                <w:color w:val="0F1115"/>
                <w:sz w:val="21"/>
              </w:rPr>
              <w:t>Does every decision needed have one person and a day?</w:t>
            </w:r>
          </w:p>
        </w:tc>
        <w:tc>
          <w:tcPr>
            <w:tcW w:type="dxa" w:w="5669"/>
          </w:tcPr>
          <w:p>
            <w:pPr>
              <w:spacing w:after="0"/>
            </w:pPr>
            <w:r>
              <w:rPr>
                <w:b w:val="0"/>
                <w:i w:val="0"/>
                <w:color w:val="0F1115"/>
                <w:sz w:val="21"/>
              </w:rPr>
              <w:t>Every Decisions needed row has one named person in From and a weekday in By. Every Risks and issues row is an open line in the RAID log, with the same Id, What and Owner.</w:t>
            </w:r>
          </w:p>
        </w:tc>
      </w:tr>
      <w:tr>
        <w:trPr>
          <w:cantSplit/>
        </w:trPr>
        <w:tc>
          <w:tcPr>
            <w:tcW w:type="dxa" w:w="454"/>
          </w:tcPr>
          <w:p>
            <w:pPr>
              <w:spacing w:after="0"/>
            </w:pPr>
            <w:r>
              <w:rPr>
                <w:b w:val="0"/>
                <w:i w:val="0"/>
                <w:color w:val="0F1115"/>
                <w:sz w:val="21"/>
              </w:rPr>
              <w:t>8</w:t>
            </w:r>
          </w:p>
        </w:tc>
        <w:tc>
          <w:tcPr>
            <w:tcW w:type="dxa" w:w="3515"/>
          </w:tcPr>
          <w:p>
            <w:pPr>
              <w:spacing w:after="0"/>
            </w:pPr>
            <w:r>
              <w:rPr>
                <w:b/>
                <w:i w:val="0"/>
                <w:color w:val="0F1115"/>
                <w:sz w:val="21"/>
              </w:rPr>
              <w:t xml:space="preserve">On the beat. </w:t>
            </w:r>
            <w:r>
              <w:rPr>
                <w:b w:val="0"/>
                <w:i w:val="0"/>
                <w:color w:val="0F1115"/>
                <w:sz w:val="21"/>
              </w:rPr>
              <w:t>Did this report go on time, to the right person?</w:t>
            </w:r>
          </w:p>
        </w:tc>
        <w:tc>
          <w:tcPr>
            <w:tcW w:type="dxa" w:w="5669"/>
          </w:tcPr>
          <w:p>
            <w:pPr>
              <w:spacing w:after="0"/>
            </w:pPr>
            <w:r>
              <w:rPr>
                <w:b w:val="0"/>
                <w:i w:val="0"/>
                <w:color w:val="0F1115"/>
                <w:sz w:val="21"/>
              </w:rPr>
              <w:t>Week ending is a Thursday, 7 days after the last numbered report's. Report is the last number plus 1, or Early, Red. Sent to is the Reader, and its Day is the Week ending or the next working day. An Early, Red report has a line reading Red and falls inside its own Thursday's week.</w:t>
            </w:r>
          </w:p>
        </w:tc>
      </w:tr>
    </w:tbl>
    <w:p>
      <w:pPr>
        <w:pStyle w:val="Heading1"/>
      </w:pPr>
      <w:r>
        <w:rPr>
          <w:b/>
          <w:i w:val="0"/>
          <w:color w:val="0F1115"/>
          <w:sz w:val="26"/>
        </w:rPr>
        <w:t>About this Example</w:t>
      </w:r>
    </w:p>
    <w:p>
      <w:pPr>
        <w:keepNext w:val="0"/>
        <w:spacing w:after="80" w:before="0"/>
      </w:pPr>
      <w:r>
        <w:rPr>
          <w:b w:val="0"/>
          <w:i w:val="0"/>
          <w:color w:val="0F1115"/>
          <w:sz w:val="21"/>
        </w:rPr>
        <w:t>Hollins Software is a made-up software company. Everyone in it is made up too.</w:t>
      </w:r>
    </w:p>
    <w:p>
      <w:pPr>
        <w:keepNext w:val="0"/>
        <w:spacing w:after="80" w:before="0"/>
      </w:pPr>
      <w:r>
        <w:rPr>
          <w:b w:val="0"/>
          <w:i w:val="0"/>
          <w:color w:val="0F1115"/>
          <w:sz w:val="21"/>
        </w:rPr>
        <w:t>This is report 3 for Billing Engine Rewrite, for the week ending Thu 22 Oct 2026. Report 1 went to Hugo (Program Manager) on Thu 8 Oct 2026.</w:t>
      </w:r>
    </w:p>
    <w:p>
      <w:pPr>
        <w:keepNext w:val="0"/>
        <w:spacing w:after="80" w:before="0"/>
      </w:pPr>
      <w:r>
        <w:rPr>
          <w:b/>
          <w:i w:val="0"/>
          <w:color w:val="0F1115"/>
          <w:sz w:val="21"/>
        </w:rPr>
        <w:t>It fails questions 4, 6 and 7 on purpose, and passes 1, 2, 3, 5 and 8.</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268"/>
        <w:gridCol w:w="7370"/>
      </w:tblGrid>
      <w:tr>
        <w:trPr>
          <w:cantSplit/>
        </w:trPr>
        <w:tc>
          <w:tcPr>
            <w:tcW w:type="dxa" w:w="2268"/>
          </w:tcPr>
          <w:p>
            <w:pPr>
              <w:spacing w:after="0"/>
            </w:pPr>
            <w:r>
              <w:rPr>
                <w:b/>
                <w:i w:val="0"/>
                <w:color w:val="0F1115"/>
                <w:sz w:val="21"/>
              </w:rPr>
              <w:t>4 Nothing is left out</w:t>
            </w:r>
          </w:p>
        </w:tc>
        <w:tc>
          <w:tcPr>
            <w:tcW w:type="dxa" w:w="7370"/>
          </w:tcPr>
          <w:p>
            <w:pPr>
              <w:spacing w:after="0"/>
            </w:pPr>
            <w:r>
              <w:rPr>
                <w:b w:val="0"/>
                <w:i w:val="0"/>
                <w:color w:val="0F1115"/>
                <w:sz w:val="21"/>
              </w:rPr>
              <w:t>The plan has Tax rules for outside the US moving from Mon 1 Feb 2027 to Fri 12 Feb 2027, and Dates doesn't show it.</w:t>
            </w:r>
          </w:p>
        </w:tc>
      </w:tr>
      <w:tr>
        <w:trPr>
          <w:cantSplit/>
        </w:trPr>
        <w:tc>
          <w:tcPr>
            <w:tcW w:type="dxa" w:w="2268"/>
          </w:tcPr>
          <w:p>
            <w:pPr>
              <w:spacing w:after="0"/>
            </w:pPr>
            <w:r>
              <w:rPr>
                <w:b/>
                <w:i w:val="0"/>
                <w:color w:val="0F1115"/>
                <w:sz w:val="21"/>
              </w:rPr>
              <w:t>6 A person behind each colour</w:t>
            </w:r>
          </w:p>
        </w:tc>
        <w:tc>
          <w:tcPr>
            <w:tcW w:type="dxa" w:w="7370"/>
          </w:tcPr>
          <w:p>
            <w:pPr>
              <w:spacing w:after="0"/>
            </w:pPr>
            <w:r>
              <w:rPr>
                <w:b w:val="0"/>
                <w:i w:val="0"/>
                <w:color w:val="0F1115"/>
                <w:sz w:val="21"/>
              </w:rPr>
              <w:t>Date's Why names nobody. It gives the cause, the staging environment Data Migration Wave 2 has booked, and Data Migration Wave 2 is a project.</w:t>
            </w:r>
          </w:p>
        </w:tc>
      </w:tr>
      <w:tr>
        <w:trPr>
          <w:cantSplit/>
        </w:trPr>
        <w:tc>
          <w:tcPr>
            <w:tcW w:type="dxa" w:w="2268"/>
          </w:tcPr>
          <w:p>
            <w:pPr>
              <w:spacing w:after="0"/>
            </w:pPr>
            <w:r>
              <w:rPr>
                <w:b/>
                <w:i w:val="0"/>
                <w:color w:val="0F1115"/>
                <w:sz w:val="21"/>
              </w:rPr>
              <w:t>7 Someone can decide</w:t>
            </w:r>
          </w:p>
        </w:tc>
        <w:tc>
          <w:tcPr>
            <w:tcW w:type="dxa" w:w="7370"/>
          </w:tcPr>
          <w:p>
            <w:pPr>
              <w:spacing w:after="0"/>
            </w:pPr>
            <w:r>
              <w:rPr>
                <w:b w:val="0"/>
                <w:i w:val="0"/>
                <w:color w:val="0F1115"/>
                <w:sz w:val="21"/>
              </w:rPr>
              <w:t>Decisions needed row 2, the hosting renewal, has no person or day: From reads Not yet named, By reads Before 31 Jan.</w:t>
            </w:r>
          </w:p>
        </w:tc>
      </w:tr>
    </w:tbl>
    <w:p>
      <w:pPr>
        <w:keepNext w:val="0"/>
        <w:spacing w:after="80" w:before="120"/>
      </w:pPr>
      <w:r>
        <w:rPr>
          <w:b w:val="0"/>
          <w:i w:val="0"/>
          <w:color w:val="0F1115"/>
          <w:sz w:val="21"/>
        </w:rPr>
        <w:t>R4's Owner reads Engineering managers, a team. That's the RAID log's planted failure, copied as the log has it, and it's why Risks and issues shows R4. Question 7 compares the Owner with the log, so it passes.</w:t>
      </w:r>
    </w:p>
    <w:p>
      <w:pPr>
        <w:keepNext w:val="0"/>
        <w:spacing w:after="80" w:before="0"/>
      </w:pPr>
      <w:r>
        <w:rPr>
          <w:b w:val="0"/>
          <w:i w:val="0"/>
          <w:color w:val="0F1115"/>
          <w:sz w:val="21"/>
        </w:rPr>
        <w:t>Risks and issues shows the six open lines the rule picks: R1, which Decisions needed names; R3, with no response; R4; A2, with no look-again date; I1, whose look-again date passed on Fri 16 Oct 2026; and X3, with nobody named to answer for it.</w:t>
      </w:r>
    </w:p>
    <w:p>
      <w:pPr>
        <w:keepNext w:val="0"/>
        <w:spacing w:after="80" w:before="0"/>
      </w:pPr>
      <w:r>
        <w:rPr>
          <w:b w:val="0"/>
          <w:i w:val="0"/>
          <w:color w:val="0F1115"/>
          <w:sz w:val="21"/>
        </w:rPr>
        <w:t>Cost is Green. Forecast at completion, 780,000, is the Baselined cost. The new engine's running cost, 140,000 a year, is in no budget line, so it stays out of Money and sits in Risks and issues as R3.</w:t>
      </w:r>
    </w:p>
    <w:p>
      <w:pPr>
        <w:keepNext w:val="0"/>
        <w:spacing w:after="80" w:before="0"/>
      </w:pPr>
      <w:r>
        <w:rPr>
          <w:b w:val="0"/>
          <w:i w:val="0"/>
          <w:color w:val="0F1115"/>
          <w:sz w:val="21"/>
        </w:rPr>
        <w:t>Sponsor reads Not yet named, as on every Hollins file: Billing and Payments Program has no sponsor.</w:t>
      </w:r>
    </w:p>
    <w:p>
      <w:pPr>
        <w:pStyle w:val="Heading1"/>
      </w:pPr>
      <w:r>
        <w:rPr>
          <w:b/>
          <w:i w:val="0"/>
          <w:color w:val="0F1115"/>
          <w:sz w:val="26"/>
        </w:rPr>
        <w:t>Before you start</w:t>
      </w:r>
    </w:p>
    <w:p>
      <w:pPr>
        <w:keepNext w:val="0"/>
        <w:spacing w:after="80" w:before="0"/>
      </w:pPr>
      <w:r>
        <w:rPr>
          <w:b w:val="0"/>
          <w:i w:val="0"/>
          <w:color w:val="0F1115"/>
          <w:sz w:val="21"/>
        </w:rPr>
        <w:t>A status report says where one project stands at the end of one week, for one reader. Each report covers the week to a Thursday, and goes out that day or the next working day.</w:t>
      </w:r>
    </w:p>
    <w:p>
      <w:pPr>
        <w:keepNext w:val="0"/>
        <w:spacing w:after="80" w:before="0"/>
      </w:pPr>
      <w:r>
        <w:rPr>
          <w:b w:val="0"/>
          <w:i w:val="0"/>
          <w:color w:val="0F1115"/>
          <w:sz w:val="21"/>
        </w:rPr>
        <w:t>Name, Sits under and Owner are copied from the project's row on the Register, letter for letter, and Planned finish is the Register's date with its weekday. Sponsor is copied from the program's row, and Reader from the stakeholders file. Gate names are the gate map's seven, letter for letter.</w:t>
      </w:r>
    </w:p>
    <w:p>
      <w:pPr>
        <w:keepNext w:val="0"/>
        <w:spacing w:after="80" w:before="0"/>
      </w:pPr>
      <w:r>
        <w:rPr>
          <w:b w:val="0"/>
          <w:i w:val="0"/>
          <w:color w:val="0F1115"/>
          <w:sz w:val="21"/>
        </w:rPr>
        <w:t>Start from last week's report. Report goes up by 1 and Week ending by 7 days, and this week's readings and figures move to Last week.</w:t>
      </w:r>
    </w:p>
    <w:p>
      <w:pPr>
        <w:keepNext w:val="0"/>
        <w:spacing w:after="80" w:before="0"/>
      </w:pPr>
      <w:r>
        <w:rPr>
          <w:b w:val="0"/>
          <w:i w:val="0"/>
          <w:color w:val="0F1115"/>
          <w:sz w:val="21"/>
        </w:rPr>
        <w:t>Money is numbers only, in the charter's currency. The Share and the owner's limit come from the charter; Baselined cost and Forecast at completion from the plan. Spent to date comes from the finance export, for the charter's cost lines only, with nothing after cutover.</w:t>
      </w:r>
    </w:p>
    <w:p>
      <w:pPr>
        <w:keepNext w:val="0"/>
        <w:spacing w:after="80" w:before="0"/>
      </w:pPr>
      <w:r>
        <w:rPr>
          <w:b w:val="0"/>
          <w:i w:val="0"/>
          <w:color w:val="0F1115"/>
          <w:sz w:val="21"/>
        </w:rPr>
        <w:t>Dates has a row for each gate still ahead, and for any other row of the plan whose Forecast is later than its Baselined date, under the plan's name for it.</w:t>
      </w:r>
    </w:p>
    <w:p>
      <w:pPr>
        <w:keepNext w:val="0"/>
        <w:spacing w:after="80" w:before="0"/>
      </w:pPr>
      <w:r>
        <w:rPr>
          <w:b w:val="0"/>
          <w:i w:val="0"/>
          <w:color w:val="0F1115"/>
          <w:sz w:val="21"/>
        </w:rPr>
        <w:t>Changes lists each change raised or decided since last week's report, and every one still raised. A decided change shows once more under its CH number, with the dates it moved, then drops off.</w:t>
      </w:r>
    </w:p>
    <w:p>
      <w:pPr>
        <w:keepNext w:val="0"/>
        <w:spacing w:after="80" w:before="0"/>
      </w:pPr>
      <w:r>
        <w:rPr>
          <w:b w:val="0"/>
          <w:i w:val="0"/>
          <w:color w:val="0F1115"/>
          <w:sz w:val="21"/>
        </w:rPr>
        <w:t>Risks and issues copies Id, What, Owner and Response from the RAID log for each open line that has no response, no single named owner, a look-again date missing or passed, or nobody named to answer a dependency, and for each line Dates, Changes or Decisions needed names. Lines the log keeps on the program workbook aren't copied.</w:t>
      </w:r>
    </w:p>
    <w:p>
      <w:pPr>
        <w:keepNext w:val="0"/>
        <w:spacing w:after="80" w:before="0"/>
      </w:pPr>
      <w:r>
        <w:rPr>
          <w:b w:val="0"/>
          <w:i w:val="0"/>
          <w:color w:val="0F1115"/>
          <w:sz w:val="21"/>
        </w:rPr>
        <w:t>Decisions needed lists what someone else has to decide, or has to do before a decision can be made, with one person in From and a weekday in By. Coming up covers the next two weeks.</w:t>
      </w:r>
    </w:p>
    <w:p>
      <w:pPr>
        <w:keepNext w:val="0"/>
        <w:spacing w:after="80" w:before="0"/>
      </w:pPr>
      <w:r>
        <w:rPr>
          <w:b w:val="0"/>
          <w:i w:val="0"/>
          <w:color w:val="0F1115"/>
          <w:sz w:val="21"/>
        </w:rPr>
        <w:t>Write every person as Name (Role), one to a cell. A team, a board or a project never owns a line. A table with nothing in it reads None this week.</w:t>
      </w:r>
    </w:p>
    <w:p>
      <w:pPr>
        <w:keepNext w:val="0"/>
        <w:spacing w:after="80" w:before="0"/>
      </w:pPr>
      <w:r>
        <w:rPr>
          <w:b w:val="0"/>
          <w:i w:val="0"/>
          <w:color w:val="0F1115"/>
          <w:sz w:val="21"/>
        </w:rPr>
        <w:t>Before approving, check the report against the eight review questions after Approval.</w:t>
      </w:r>
    </w:p>
    <w:p>
      <w:pPr>
        <w:keepNext w:val="0"/>
        <w:spacing w:after="80" w:before="0"/>
      </w:pPr>
      <w:r>
        <w:rPr>
          <w:b w:val="0"/>
          <w:i w:val="0"/>
          <w:color w:val="0F1115"/>
          <w:sz w:val="21"/>
        </w:rPr>
        <w:t>Approval covers the report as sent. One person may prepare it and approve it. Once Sent to has a day, the report isn't changed: anything wrong is corrected in the next one.</w:t>
      </w:r>
    </w:p>
    <w:p>
      <w:pPr>
        <w:keepNext w:val="0"/>
        <w:spacing w:after="80" w:before="0"/>
      </w:pPr>
      <w:r>
        <w:rPr>
          <w:b w:val="0"/>
          <w:i w:val="0"/>
          <w:color w:val="0F1115"/>
          <w:sz w:val="21"/>
        </w:rPr>
        <w:t>The report ends at Approval. The pages after it are guidance: leave them out of the copy you send.</w:t>
      </w:r>
    </w:p>
    <w:p>
      <w:pPr>
        <w:keepNext w:val="0"/>
        <w:spacing w:after="80" w:before="0"/>
      </w:pPr>
      <w:r>
        <w:rPr>
          <w:b w:val="0"/>
          <w:i w:val="0"/>
          <w:color w:val="0F1115"/>
          <w:sz w:val="21"/>
        </w:rPr>
        <w:t>An assistant can check it for you. The brief is in frqz-status-report-agent-brief.txt, beside this file.</w:t>
      </w:r>
    </w:p>
    <w:p>
      <w:pPr>
        <w:keepNext w:val="0"/>
        <w:spacing w:after="80" w:before="0"/>
      </w:pPr>
      <w:r>
        <w:rPr>
          <w:b w:val="0"/>
          <w:i w:val="0"/>
          <w:color w:val="0F1115"/>
          <w:sz w:val="21"/>
        </w:rPr>
        <w:t>To use your own logo, right-click the FRQZ logo at the top right and choose Change Picture. In Google Docs, choose Replace image.</w:t>
      </w:r>
    </w:p>
    <w:p>
      <w:pPr>
        <w:pStyle w:val="Heading2"/>
      </w:pPr>
      <w:r>
        <w:rPr>
          <w:b/>
          <w:i w:val="0"/>
          <w:color w:val="0F1115"/>
          <w:sz w:val="22"/>
        </w:rPr>
        <w:t>Readings</w:t>
      </w:r>
    </w:p>
    <w:p>
      <w:pPr>
        <w:keepNext w:val="0"/>
        <w:spacing w:after="80" w:before="0"/>
      </w:pPr>
      <w:r>
        <w:rPr>
          <w:b w:val="0"/>
          <w:i w:val="0"/>
          <w:color w:val="0F1115"/>
          <w:sz w:val="21"/>
        </w:rPr>
        <w:t>Each reading is taken against the Baselined dates and cost as they stand, after approved changes. It is written as a word in its shaded cell: Green, Amber, Red, or Not read.</w:t>
      </w:r>
    </w:p>
    <w:p>
      <w:pPr>
        <w:keepNext w:val="0"/>
        <w:spacing w:after="80" w:before="0"/>
      </w:pPr>
      <w:r>
        <w:rPr>
          <w:b w:val="0"/>
          <w:i w:val="0"/>
          <w:color w:val="0F1115"/>
          <w:sz w:val="21"/>
        </w:rPr>
        <w:t>Date. Green when no gate or milestone of this project is forecast later than its Baselined date. Amber when one is, by up to 5 working days. Red when one is later by more, or its Baselined date is before Week ending and it isn't done. A date another project provides is shown in Dates and doesn't colour Date.</w:t>
      </w:r>
    </w:p>
    <w:p>
      <w:pPr>
        <w:keepNext w:val="0"/>
        <w:spacing w:after="80" w:before="0"/>
      </w:pPr>
      <w:r>
        <w:rPr>
          <w:b w:val="0"/>
          <w:i w:val="0"/>
          <w:color w:val="0F1115"/>
          <w:sz w:val="21"/>
        </w:rPr>
        <w:t>Cost. Green when Forecast at completion is the Baselined cost or less. Amber when it's over by up to 10 percent. Red when it's over by more.</w:t>
      </w:r>
    </w:p>
    <w:p>
      <w:pPr>
        <w:keepNext w:val="0"/>
        <w:spacing w:after="80" w:before="0"/>
      </w:pPr>
      <w:r>
        <w:rPr>
          <w:b w:val="0"/>
          <w:i w:val="0"/>
          <w:color w:val="0F1115"/>
          <w:sz w:val="21"/>
        </w:rPr>
        <w:t>Scope. Green while no change to scope is waiting for a decision. Amber while one is. Red when something was added or removed with no decision.</w:t>
      </w:r>
    </w:p>
    <w:p>
      <w:pPr>
        <w:keepNext w:val="0"/>
        <w:spacing w:after="80" w:before="0"/>
      </w:pPr>
      <w:r>
        <w:rPr>
          <w:b w:val="0"/>
          <w:i w:val="0"/>
          <w:color w:val="0F1115"/>
          <w:sz w:val="21"/>
        </w:rPr>
        <w:t>Overall is the worst of Date, Cost and Scope.</w:t>
      </w:r>
    </w:p>
    <w:p>
      <w:pPr>
        <w:keepNext w:val="0"/>
        <w:spacing w:after="80" w:before="0"/>
      </w:pPr>
      <w:r>
        <w:rPr>
          <w:b w:val="0"/>
          <w:i w:val="0"/>
          <w:color w:val="0F1115"/>
          <w:sz w:val="21"/>
        </w:rPr>
        <w:t>The owner's limit is how far the Owner may move a date, 5 working days, or spend over the Share, 15,600, without asking anyone. Money prints it, and it colours nothing. When Forecast at completion is over the Share by more than it, Cost's Why names who decides.</w:t>
      </w:r>
    </w:p>
    <w:p>
      <w:pPr>
        <w:keepNext w:val="0"/>
        <w:spacing w:after="80" w:before="0"/>
      </w:pPr>
      <w:r>
        <w:rPr>
          <w:b w:val="0"/>
          <w:i w:val="0"/>
          <w:color w:val="0F1115"/>
          <w:sz w:val="21"/>
        </w:rPr>
        <w:t>Once a change is approved, Baselined becomes the approved date or cost, so a reading goes back to Green when the forecast meets it. Changes shows the change once under its CH number.</w:t>
      </w:r>
    </w:p>
    <w:p>
      <w:pPr>
        <w:keepNext w:val="0"/>
        <w:spacing w:after="80" w:before="0"/>
      </w:pPr>
      <w:r>
        <w:rPr>
          <w:b w:val="0"/>
          <w:i w:val="0"/>
          <w:color w:val="0F1115"/>
          <w:sz w:val="21"/>
        </w:rPr>
        <w:t>An Amber or Red line of Date, Cost or Scope has a Why that names the person who acts. Overall's Why names the line that sets it and that person.</w:t>
      </w:r>
    </w:p>
    <w:p>
      <w:pPr>
        <w:keepNext w:val="0"/>
        <w:spacing w:after="80" w:before="0"/>
      </w:pPr>
      <w:r>
        <w:rPr>
          <w:b w:val="0"/>
          <w:i w:val="0"/>
          <w:color w:val="0F1115"/>
          <w:sz w:val="21"/>
        </w:rPr>
        <w:t>A line that turns Red goes to the Reader that day, in a report marked Early, Red. It keeps its week's Thursday as Week ending and takes no number, and the next weekly report takes the number it would have had.</w:t>
      </w:r>
    </w:p>
    <w:p>
      <w:pPr>
        <w:keepNext w:val="0"/>
        <w:spacing w:after="80" w:before="0"/>
      </w:pPr>
      <w:r>
        <w:rPr>
          <w:b w:val="0"/>
          <w:i w:val="0"/>
          <w:color w:val="0F1115"/>
          <w:sz w:val="21"/>
        </w:rPr>
        <w:t>In FRQZ, Green reads On track.</w:t>
      </w:r>
    </w:p>
    <w:p>
      <w:pPr>
        <w:keepNext w:val="0"/>
        <w:spacing w:after="0" w:before="0"/>
      </w:pP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s="Arial" w:eastAsia="Arial"/>
      <w:color w:val="0F1115"/>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cstheme="majorBidi" w:ascii="Arial" w:hAnsi="Arial" w:cs="Arial" w:eastAsia="Arial"/>
      <w:b/>
      <w:bCs/>
      <w:color w:val="0F1115"/>
      <w:sz w:val="26"/>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cstheme="majorBidi" w:ascii="Arial" w:hAnsi="Arial" w:cs="Arial" w:eastAsia="Arial"/>
      <w:b/>
      <w:bCs/>
      <w:color w:val="0F111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20"/>
      <w:contextualSpacing/>
    </w:pPr>
    <w:rPr>
      <w:rFonts w:cstheme="majorBidi" w:ascii="Arial" w:hAnsi="Arial" w:cs="Arial" w:eastAsia="Arial"/>
      <w:b/>
      <w:color w:val="0F1115"/>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 (Example)</dc:title>
  <dc:subject/>
  <dc:creator>FRQZ</dc:creator>
  <cp:keywords/>
  <dc:description/>
  <cp:lastModifiedBy>FRQZ</cp:lastModifiedBy>
  <cp:revision>1</cp:revision>
  <dcterms:created xsi:type="dcterms:W3CDTF">2013-12-23T23:15:00Z</dcterms:created>
  <dcterms:modified xsi:type="dcterms:W3CDTF">2013-12-23T23:15:00Z</dcterms:modified>
  <cp:category/>
</cp:coreProperties>
</file>