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pStyle w:val="Title"/>
        <w:spacing w:after="40"/>
      </w:pPr>
      <w:r>
        <w:rPr>
          <w:b/>
          <w:i w:val="0"/>
          <w:color w:val="0F1115"/>
          <w:sz w:val="40"/>
        </w:rPr>
        <w:t>Status report</w:t>
      </w:r>
    </w:p>
    <w:p>
      <w:pPr>
        <w:keepNext w:val="0"/>
        <w:spacing w:after="200" w:before="0"/>
      </w:pPr>
      <w:r>
        <w:rPr>
          <w:b w:val="0"/>
          <w:i/>
          <w:color w:val="5F6670"/>
          <w:sz w:val="28"/>
        </w:rPr>
        <w:t>The project's name, letter for letter as the Register has it</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Name</w:t>
            </w:r>
          </w:p>
        </w:tc>
        <w:tc>
          <w:tcPr>
            <w:tcW w:type="dxa" w:w="7370"/>
          </w:tcPr>
          <w:p>
            <w:pPr>
              <w:spacing w:after="0"/>
            </w:pPr>
            <w:r>
              <w:rPr>
                <w:b w:val="0"/>
                <w:i/>
                <w:color w:val="5F6670"/>
                <w:sz w:val="21"/>
              </w:rPr>
              <w:t>The project's name, letter for letter.</w:t>
            </w:r>
          </w:p>
        </w:tc>
      </w:tr>
      <w:tr>
        <w:trPr>
          <w:cantSplit/>
        </w:trPr>
        <w:tc>
          <w:tcPr>
            <w:tcW w:type="dxa" w:w="2268"/>
          </w:tcPr>
          <w:p>
            <w:pPr>
              <w:spacing w:after="0"/>
            </w:pPr>
            <w:r>
              <w:rPr>
                <w:b/>
                <w:i w:val="0"/>
                <w:color w:val="0F1115"/>
                <w:sz w:val="21"/>
              </w:rPr>
              <w:t>Sits under</w:t>
            </w:r>
          </w:p>
        </w:tc>
        <w:tc>
          <w:tcPr>
            <w:tcW w:type="dxa" w:w="7370"/>
          </w:tcPr>
          <w:p>
            <w:pPr>
              <w:spacing w:after="0"/>
            </w:pPr>
            <w:r>
              <w:rPr>
                <w:b w:val="0"/>
                <w:i/>
                <w:color w:val="5F6670"/>
                <w:sz w:val="21"/>
              </w:rPr>
              <w:t>The program's name, or Portfolio.</w:t>
            </w:r>
          </w:p>
        </w:tc>
      </w:tr>
      <w:tr>
        <w:trPr>
          <w:cantSplit/>
        </w:trPr>
        <w:tc>
          <w:tcPr>
            <w:tcW w:type="dxa" w:w="2268"/>
          </w:tcPr>
          <w:p>
            <w:pPr>
              <w:spacing w:after="0"/>
            </w:pPr>
            <w:r>
              <w:rPr>
                <w:b/>
                <w:i w:val="0"/>
                <w:color w:val="0F1115"/>
                <w:sz w:val="21"/>
              </w:rPr>
              <w:t>Owner</w:t>
            </w:r>
          </w:p>
        </w:tc>
        <w:tc>
          <w:tcPr>
            <w:tcW w:type="dxa" w:w="7370"/>
          </w:tcPr>
          <w:p>
            <w:pPr>
              <w:spacing w:after="0"/>
            </w:pPr>
            <w:r>
              <w:rPr>
                <w:b w:val="0"/>
                <w:i/>
                <w:color w:val="5F6670"/>
                <w:sz w:val="21"/>
              </w:rPr>
              <w:t>One person, written Name (Role).</w:t>
            </w:r>
          </w:p>
        </w:tc>
      </w:tr>
      <w:tr>
        <w:trPr>
          <w:cantSplit/>
        </w:trPr>
        <w:tc>
          <w:tcPr>
            <w:tcW w:type="dxa" w:w="2268"/>
          </w:tcPr>
          <w:p>
            <w:pPr>
              <w:spacing w:after="0"/>
            </w:pPr>
            <w:r>
              <w:rPr>
                <w:b/>
                <w:i w:val="0"/>
                <w:color w:val="0F1115"/>
                <w:sz w:val="21"/>
              </w:rPr>
              <w:t>Sponsor</w:t>
            </w:r>
          </w:p>
        </w:tc>
        <w:tc>
          <w:tcPr>
            <w:tcW w:type="dxa" w:w="7370"/>
          </w:tcPr>
          <w:p>
            <w:pPr>
              <w:spacing w:after="0"/>
            </w:pPr>
            <w:r>
              <w:rPr>
                <w:b w:val="0"/>
                <w:i/>
                <w:color w:val="5F6670"/>
                <w:sz w:val="21"/>
              </w:rPr>
              <w:t>The Sponsor on the program's row, or Not yet named.</w:t>
            </w:r>
          </w:p>
        </w:tc>
      </w:tr>
      <w:tr>
        <w:trPr>
          <w:cantSplit/>
        </w:trPr>
        <w:tc>
          <w:tcPr>
            <w:tcW w:type="dxa" w:w="2268"/>
          </w:tcPr>
          <w:p>
            <w:pPr>
              <w:spacing w:after="0"/>
            </w:pPr>
            <w:r>
              <w:rPr>
                <w:b/>
                <w:i w:val="0"/>
                <w:color w:val="0F1115"/>
                <w:sz w:val="21"/>
              </w:rPr>
              <w:t>Reader</w:t>
            </w:r>
          </w:p>
        </w:tc>
        <w:tc>
          <w:tcPr>
            <w:tcW w:type="dxa" w:w="7370"/>
          </w:tcPr>
          <w:p>
            <w:pPr>
              <w:spacing w:after="0"/>
            </w:pPr>
            <w:r>
              <w:rPr>
                <w:b w:val="0"/>
                <w:i/>
                <w:color w:val="5F6670"/>
                <w:sz w:val="21"/>
              </w:rPr>
              <w:t>The one person this report goes to.</w:t>
            </w:r>
          </w:p>
        </w:tc>
      </w:tr>
      <w:tr>
        <w:trPr>
          <w:cantSplit/>
        </w:trPr>
        <w:tc>
          <w:tcPr>
            <w:tcW w:type="dxa" w:w="2268"/>
          </w:tcPr>
          <w:p>
            <w:pPr>
              <w:spacing w:after="0"/>
            </w:pPr>
            <w:r>
              <w:rPr>
                <w:b/>
                <w:i w:val="0"/>
                <w:color w:val="0F1115"/>
                <w:sz w:val="21"/>
              </w:rPr>
              <w:t>Week ending</w:t>
            </w:r>
          </w:p>
        </w:tc>
        <w:tc>
          <w:tcPr>
            <w:tcW w:type="dxa" w:w="7370"/>
          </w:tcPr>
          <w:p>
            <w:pPr>
              <w:spacing w:after="0"/>
            </w:pPr>
            <w:r>
              <w:rPr>
                <w:b w:val="0"/>
                <w:i/>
                <w:color w:val="5F6670"/>
                <w:sz w:val="21"/>
              </w:rPr>
              <w:t>A Thursday, 7 days after last week's.</w:t>
            </w:r>
          </w:p>
        </w:tc>
      </w:tr>
      <w:tr>
        <w:trPr>
          <w:cantSplit/>
        </w:trPr>
        <w:tc>
          <w:tcPr>
            <w:tcW w:type="dxa" w:w="2268"/>
          </w:tcPr>
          <w:p>
            <w:pPr>
              <w:spacing w:after="0"/>
            </w:pPr>
            <w:r>
              <w:rPr>
                <w:b/>
                <w:i w:val="0"/>
                <w:color w:val="0F1115"/>
                <w:sz w:val="21"/>
              </w:rPr>
              <w:t>Report</w:t>
            </w:r>
          </w:p>
        </w:tc>
        <w:tc>
          <w:tcPr>
            <w:tcW w:type="dxa" w:w="7370"/>
          </w:tcPr>
          <w:p>
            <w:pPr>
              <w:spacing w:after="0"/>
            </w:pPr>
            <w:r>
              <w:rPr>
                <w:b w:val="0"/>
                <w:i/>
                <w:color w:val="5F6670"/>
                <w:sz w:val="21"/>
              </w:rPr>
              <w:t>Last week's number plus 1, or Early, Red.</w:t>
            </w:r>
          </w:p>
        </w:tc>
      </w:tr>
      <w:tr>
        <w:trPr>
          <w:cantSplit/>
        </w:trPr>
        <w:tc>
          <w:tcPr>
            <w:tcW w:type="dxa" w:w="2268"/>
          </w:tcPr>
          <w:p>
            <w:pPr>
              <w:spacing w:after="0"/>
            </w:pPr>
            <w:r>
              <w:rPr>
                <w:b/>
                <w:i w:val="0"/>
                <w:color w:val="0F1115"/>
                <w:sz w:val="21"/>
              </w:rPr>
              <w:t>Planned finish</w:t>
            </w:r>
          </w:p>
        </w:tc>
        <w:tc>
          <w:tcPr>
            <w:tcW w:type="dxa" w:w="7370"/>
          </w:tcPr>
          <w:p>
            <w:pPr>
              <w:spacing w:after="0"/>
            </w:pPr>
            <w:r>
              <w:rPr>
                <w:b w:val="0"/>
                <w:i/>
                <w:color w:val="5F6670"/>
                <w:sz w:val="21"/>
              </w:rPr>
              <w:t>The Register's date, with its weekday.</w:t>
            </w:r>
          </w:p>
        </w:tc>
      </w:tr>
    </w:tbl>
    <w:p>
      <w:pPr>
        <w:pStyle w:val="Heading1"/>
      </w:pPr>
      <w:r>
        <w:rPr>
          <w:b/>
          <w:i w:val="0"/>
          <w:color w:val="0F1115"/>
          <w:sz w:val="26"/>
        </w:rPr>
        <w:t>1. Status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020"/>
        <w:gridCol w:w="1304"/>
        <w:gridCol w:w="1304"/>
        <w:gridCol w:w="6009"/>
      </w:tblGrid>
      <w:tr>
        <w:trPr>
          <w:cantSplit/>
          <w:tblHeader/>
        </w:trPr>
        <w:tc>
          <w:tcPr>
            <w:tcW w:type="dxa" w:w="1020"/>
            <w:shd w:val="clear" w:color="auto" w:fill="F4F5F6"/>
          </w:tcPr>
          <w:p>
            <w:pPr>
              <w:spacing w:after="0"/>
            </w:pPr>
            <w:r>
              <w:rPr>
                <w:b/>
                <w:i w:val="0"/>
                <w:color w:val="0F1115"/>
                <w:sz w:val="21"/>
              </w:rPr>
              <w:t>Line</w:t>
            </w:r>
          </w:p>
        </w:tc>
        <w:tc>
          <w:tcPr>
            <w:tcW w:type="dxa" w:w="1304"/>
            <w:shd w:val="clear" w:color="auto" w:fill="F4F5F6"/>
          </w:tcPr>
          <w:p>
            <w:pPr>
              <w:spacing w:after="0"/>
            </w:pPr>
            <w:r>
              <w:rPr>
                <w:b/>
                <w:i w:val="0"/>
                <w:color w:val="0F1115"/>
                <w:sz w:val="21"/>
              </w:rPr>
              <w:t>This week</w:t>
            </w:r>
          </w:p>
        </w:tc>
        <w:tc>
          <w:tcPr>
            <w:tcW w:type="dxa" w:w="1304"/>
            <w:shd w:val="clear" w:color="auto" w:fill="F4F5F6"/>
          </w:tcPr>
          <w:p>
            <w:pPr>
              <w:spacing w:after="0"/>
            </w:pPr>
            <w:r>
              <w:rPr>
                <w:b/>
                <w:i w:val="0"/>
                <w:color w:val="0F1115"/>
                <w:sz w:val="21"/>
              </w:rPr>
              <w:t>Last week</w:t>
            </w:r>
          </w:p>
        </w:tc>
        <w:tc>
          <w:tcPr>
            <w:tcW w:type="dxa" w:w="6009"/>
            <w:shd w:val="clear" w:color="auto" w:fill="F4F5F6"/>
          </w:tcPr>
          <w:p>
            <w:pPr>
              <w:spacing w:after="0"/>
            </w:pPr>
            <w:r>
              <w:rPr>
                <w:b/>
                <w:i w:val="0"/>
                <w:color w:val="0F1115"/>
                <w:sz w:val="21"/>
              </w:rPr>
              <w:t>Why</w:t>
            </w:r>
          </w:p>
        </w:tc>
      </w:tr>
      <w:tr>
        <w:trPr>
          <w:cantSplit/>
        </w:trPr>
        <w:tc>
          <w:tcPr>
            <w:tcW w:type="dxa" w:w="1020"/>
          </w:tcPr>
          <w:p>
            <w:pPr>
              <w:spacing w:after="0"/>
            </w:pPr>
            <w:r>
              <w:rPr>
                <w:b w:val="0"/>
                <w:i w:val="0"/>
                <w:color w:val="0F1115"/>
                <w:sz w:val="21"/>
              </w:rPr>
              <w:t>Overall</w:t>
            </w:r>
          </w:p>
        </w:tc>
        <w:tc>
          <w:tcPr>
            <w:tcW w:type="dxa" w:w="1304"/>
            <w:shd w:val="clear" w:color="auto" w:fill="E4E7EA"/>
          </w:tcPr>
          <w:p>
            <w:pPr>
              <w:spacing w:after="0"/>
            </w:pPr>
            <w:r>
              <w:rPr>
                <w:b w:val="0"/>
                <w:i/>
                <w:color w:val="5F6670"/>
                <w:sz w:val="21"/>
              </w:rPr>
              <w:t>Green, Amber or Red</w:t>
            </w:r>
          </w:p>
        </w:tc>
        <w:tc>
          <w:tcPr>
            <w:tcW w:type="dxa" w:w="1304"/>
            <w:shd w:val="clear" w:color="auto" w:fill="E4E7EA"/>
          </w:tcPr>
          <w:p>
            <w:pPr>
              <w:spacing w:after="0"/>
            </w:pPr>
            <w:r>
              <w:rPr>
                <w:b w:val="0"/>
                <w:i/>
                <w:color w:val="5F6670"/>
                <w:sz w:val="21"/>
              </w:rPr>
              <w:t>Last week's reading</w:t>
            </w:r>
          </w:p>
        </w:tc>
        <w:tc>
          <w:tcPr>
            <w:tcW w:type="dxa" w:w="6009"/>
          </w:tcPr>
          <w:p>
            <w:pPr>
              <w:spacing w:after="0"/>
            </w:pPr>
            <w:r>
              <w:rPr>
                <w:b w:val="0"/>
                <w:i/>
                <w:color w:val="5F6670"/>
                <w:sz w:val="21"/>
              </w:rPr>
              <w:t>The line that sets it, and who acts</w:t>
            </w:r>
          </w:p>
        </w:tc>
      </w:tr>
      <w:tr>
        <w:trPr>
          <w:cantSplit/>
        </w:trPr>
        <w:tc>
          <w:tcPr>
            <w:tcW w:type="dxa" w:w="1020"/>
          </w:tcPr>
          <w:p>
            <w:pPr>
              <w:spacing w:after="0"/>
            </w:pPr>
            <w:r>
              <w:rPr>
                <w:b w:val="0"/>
                <w:i w:val="0"/>
                <w:color w:val="0F1115"/>
                <w:sz w:val="21"/>
              </w:rPr>
              <w:t>Date</w:t>
            </w:r>
          </w:p>
        </w:tc>
        <w:tc>
          <w:tcPr>
            <w:tcW w:type="dxa" w:w="1304"/>
            <w:shd w:val="clear" w:color="auto" w:fill="E4E7EA"/>
          </w:tcPr>
          <w:p>
            <w:pPr>
              <w:spacing w:after="0"/>
            </w:pPr>
            <w:r>
              <w:rPr>
                <w:b w:val="0"/>
                <w:i/>
                <w:color w:val="5F6670"/>
                <w:sz w:val="21"/>
              </w:rPr>
              <w:t>Green, Amber or Red</w:t>
            </w:r>
          </w:p>
        </w:tc>
        <w:tc>
          <w:tcPr>
            <w:tcW w:type="dxa" w:w="1304"/>
            <w:shd w:val="clear" w:color="auto" w:fill="E4E7EA"/>
          </w:tcPr>
          <w:p>
            <w:pPr>
              <w:spacing w:after="0"/>
            </w:pPr>
            <w:r>
              <w:rPr>
                <w:b w:val="0"/>
                <w:i/>
                <w:color w:val="5F6670"/>
                <w:sz w:val="21"/>
              </w:rPr>
              <w:t>Last week's reading</w:t>
            </w:r>
          </w:p>
        </w:tc>
        <w:tc>
          <w:tcPr>
            <w:tcW w:type="dxa" w:w="6009"/>
          </w:tcPr>
          <w:p>
            <w:pPr>
              <w:spacing w:after="0"/>
            </w:pPr>
            <w:r>
              <w:rPr>
                <w:b w:val="0"/>
                <w:i/>
                <w:color w:val="5F6670"/>
                <w:sz w:val="21"/>
              </w:rPr>
              <w:t>One sentence naming the person who acts</w:t>
            </w:r>
          </w:p>
        </w:tc>
      </w:tr>
      <w:tr>
        <w:trPr>
          <w:cantSplit/>
        </w:trPr>
        <w:tc>
          <w:tcPr>
            <w:tcW w:type="dxa" w:w="1020"/>
          </w:tcPr>
          <w:p>
            <w:pPr>
              <w:spacing w:after="0"/>
            </w:pPr>
            <w:r>
              <w:rPr>
                <w:b w:val="0"/>
                <w:i w:val="0"/>
                <w:color w:val="0F1115"/>
                <w:sz w:val="21"/>
              </w:rPr>
              <w:t>Cost</w:t>
            </w:r>
          </w:p>
        </w:tc>
        <w:tc>
          <w:tcPr>
            <w:tcW w:type="dxa" w:w="1304"/>
            <w:shd w:val="clear" w:color="auto" w:fill="E4E7EA"/>
          </w:tcPr>
          <w:p>
            <w:pPr>
              <w:spacing w:after="0"/>
            </w:pPr>
            <w:r>
              <w:rPr>
                <w:b w:val="0"/>
                <w:i/>
                <w:color w:val="5F6670"/>
                <w:sz w:val="21"/>
              </w:rPr>
              <w:t>Green, Amber or Red</w:t>
            </w:r>
          </w:p>
        </w:tc>
        <w:tc>
          <w:tcPr>
            <w:tcW w:type="dxa" w:w="1304"/>
            <w:shd w:val="clear" w:color="auto" w:fill="E4E7EA"/>
          </w:tcPr>
          <w:p>
            <w:pPr>
              <w:spacing w:after="0"/>
            </w:pPr>
            <w:r>
              <w:rPr>
                <w:b w:val="0"/>
                <w:i/>
                <w:color w:val="5F6670"/>
                <w:sz w:val="21"/>
              </w:rPr>
              <w:t>Last week's reading</w:t>
            </w:r>
          </w:p>
        </w:tc>
        <w:tc>
          <w:tcPr>
            <w:tcW w:type="dxa" w:w="6009"/>
          </w:tcPr>
          <w:p>
            <w:pPr>
              <w:spacing w:after="0"/>
            </w:pPr>
            <w:r>
              <w:rPr>
                <w:b w:val="0"/>
                <w:i/>
                <w:color w:val="5F6670"/>
                <w:sz w:val="21"/>
              </w:rPr>
              <w:t>One sentence naming the person who acts</w:t>
            </w:r>
          </w:p>
        </w:tc>
      </w:tr>
      <w:tr>
        <w:trPr>
          <w:cantSplit/>
        </w:trPr>
        <w:tc>
          <w:tcPr>
            <w:tcW w:type="dxa" w:w="1020"/>
          </w:tcPr>
          <w:p>
            <w:pPr>
              <w:spacing w:after="0"/>
            </w:pPr>
            <w:r>
              <w:rPr>
                <w:b w:val="0"/>
                <w:i w:val="0"/>
                <w:color w:val="0F1115"/>
                <w:sz w:val="21"/>
              </w:rPr>
              <w:t>Scope</w:t>
            </w:r>
          </w:p>
        </w:tc>
        <w:tc>
          <w:tcPr>
            <w:tcW w:type="dxa" w:w="1304"/>
            <w:shd w:val="clear" w:color="auto" w:fill="E4E7EA"/>
          </w:tcPr>
          <w:p>
            <w:pPr>
              <w:spacing w:after="0"/>
            </w:pPr>
            <w:r>
              <w:rPr>
                <w:b w:val="0"/>
                <w:i/>
                <w:color w:val="5F6670"/>
                <w:sz w:val="21"/>
              </w:rPr>
              <w:t>Green, Amber or Red</w:t>
            </w:r>
          </w:p>
        </w:tc>
        <w:tc>
          <w:tcPr>
            <w:tcW w:type="dxa" w:w="1304"/>
            <w:shd w:val="clear" w:color="auto" w:fill="E4E7EA"/>
          </w:tcPr>
          <w:p>
            <w:pPr>
              <w:spacing w:after="0"/>
            </w:pPr>
            <w:r>
              <w:rPr>
                <w:b w:val="0"/>
                <w:i/>
                <w:color w:val="5F6670"/>
                <w:sz w:val="21"/>
              </w:rPr>
              <w:t>Last week's reading</w:t>
            </w:r>
          </w:p>
        </w:tc>
        <w:tc>
          <w:tcPr>
            <w:tcW w:type="dxa" w:w="6009"/>
          </w:tcPr>
          <w:p>
            <w:pPr>
              <w:spacing w:after="0"/>
            </w:pPr>
            <w:r>
              <w:rPr>
                <w:b w:val="0"/>
                <w:i/>
                <w:color w:val="5F6670"/>
                <w:sz w:val="21"/>
              </w:rPr>
              <w:t>One sentence naming the person who acts</w:t>
            </w:r>
          </w:p>
        </w:tc>
      </w:tr>
    </w:tbl>
    <w:p>
      <w:pPr>
        <w:pStyle w:val="Heading1"/>
      </w:pPr>
      <w:r>
        <w:rPr>
          <w:b/>
          <w:i w:val="0"/>
          <w:color w:val="0F1115"/>
          <w:sz w:val="26"/>
        </w:rPr>
        <w:t>2. Progress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835"/>
        <w:gridCol w:w="3402"/>
        <w:gridCol w:w="3402"/>
      </w:tblGrid>
      <w:tr>
        <w:trPr>
          <w:cantSplit/>
          <w:tblHeader/>
        </w:trPr>
        <w:tc>
          <w:tcPr>
            <w:tcW w:type="dxa" w:w="2835"/>
            <w:shd w:val="clear" w:color="auto" w:fill="F4F5F6"/>
          </w:tcPr>
          <w:p>
            <w:pPr>
              <w:spacing w:after="0"/>
            </w:pPr>
            <w:r>
              <w:rPr>
                <w:b/>
                <w:i w:val="0"/>
                <w:color w:val="0F1115"/>
                <w:sz w:val="21"/>
              </w:rPr>
              <w:t>Measure</w:t>
            </w:r>
          </w:p>
        </w:tc>
        <w:tc>
          <w:tcPr>
            <w:tcW w:type="dxa" w:w="3402"/>
            <w:shd w:val="clear" w:color="auto" w:fill="F4F5F6"/>
          </w:tcPr>
          <w:p>
            <w:pPr>
              <w:spacing w:after="0"/>
            </w:pPr>
            <w:r>
              <w:rPr>
                <w:b/>
                <w:i w:val="0"/>
                <w:color w:val="0F1115"/>
                <w:sz w:val="21"/>
              </w:rPr>
              <w:t>This week</w:t>
            </w:r>
          </w:p>
        </w:tc>
        <w:tc>
          <w:tcPr>
            <w:tcW w:type="dxa" w:w="3402"/>
            <w:shd w:val="clear" w:color="auto" w:fill="F4F5F6"/>
          </w:tcPr>
          <w:p>
            <w:pPr>
              <w:spacing w:after="0"/>
            </w:pPr>
            <w:r>
              <w:rPr>
                <w:b/>
                <w:i w:val="0"/>
                <w:color w:val="0F1115"/>
                <w:sz w:val="21"/>
              </w:rPr>
              <w:t>Last week</w:t>
            </w:r>
          </w:p>
        </w:tc>
      </w:tr>
      <w:tr>
        <w:trPr>
          <w:cantSplit/>
        </w:trPr>
        <w:tc>
          <w:tcPr>
            <w:tcW w:type="dxa" w:w="2835"/>
          </w:tcPr>
          <w:p>
            <w:pPr>
              <w:spacing w:after="0"/>
            </w:pPr>
            <w:r>
              <w:rPr>
                <w:b w:val="0"/>
                <w:i w:val="0"/>
                <w:color w:val="0F1115"/>
                <w:sz w:val="21"/>
              </w:rPr>
              <w:t>Acceptance criteria</w:t>
            </w:r>
          </w:p>
        </w:tc>
        <w:tc>
          <w:tcPr>
            <w:tcW w:type="dxa" w:w="3402"/>
          </w:tcPr>
          <w:p>
            <w:pPr>
              <w:spacing w:after="0"/>
            </w:pPr>
            <w:r>
              <w:rPr>
                <w:b w:val="0"/>
                <w:i/>
                <w:color w:val="5F6670"/>
                <w:sz w:val="21"/>
              </w:rPr>
              <w:t>[n] Met, [n] Waived, [n] Open</w:t>
            </w:r>
          </w:p>
        </w:tc>
        <w:tc>
          <w:tcPr>
            <w:tcW w:type="dxa" w:w="3402"/>
          </w:tcPr>
          <w:p>
            <w:pPr>
              <w:spacing w:after="0"/>
            </w:pPr>
            <w:r>
              <w:rPr>
                <w:b w:val="0"/>
                <w:i/>
                <w:color w:val="5F6670"/>
                <w:sz w:val="21"/>
              </w:rPr>
              <w:t>[n] Met, [n] Waived, [n] Open</w:t>
            </w:r>
          </w:p>
        </w:tc>
      </w:tr>
      <w:tr>
        <w:trPr>
          <w:cantSplit/>
        </w:trPr>
        <w:tc>
          <w:tcPr>
            <w:tcW w:type="dxa" w:w="2835"/>
          </w:tcPr>
          <w:p>
            <w:pPr>
              <w:spacing w:after="0"/>
            </w:pPr>
            <w:r>
              <w:rPr>
                <w:b w:val="0"/>
                <w:i w:val="0"/>
                <w:color w:val="0F1115"/>
                <w:sz w:val="21"/>
              </w:rPr>
              <w:t>Gates decided</w:t>
            </w:r>
          </w:p>
        </w:tc>
        <w:tc>
          <w:tcPr>
            <w:tcW w:type="dxa" w:w="3402"/>
          </w:tcPr>
          <w:p>
            <w:pPr>
              <w:spacing w:after="0"/>
            </w:pPr>
            <w:r>
              <w:rPr>
                <w:b w:val="0"/>
                <w:i/>
                <w:color w:val="5F6670"/>
                <w:sz w:val="21"/>
              </w:rPr>
              <w:t>[n] of 7: the gates' names</w:t>
            </w:r>
          </w:p>
        </w:tc>
        <w:tc>
          <w:tcPr>
            <w:tcW w:type="dxa" w:w="3402"/>
          </w:tcPr>
          <w:p>
            <w:pPr>
              <w:spacing w:after="0"/>
            </w:pPr>
            <w:r>
              <w:rPr>
                <w:b w:val="0"/>
                <w:i/>
                <w:color w:val="5F6670"/>
                <w:sz w:val="21"/>
              </w:rPr>
              <w:t>[n] of 7: the gates' names</w:t>
            </w:r>
          </w:p>
        </w:tc>
      </w:tr>
      <w:tr>
        <w:trPr>
          <w:cantSplit/>
        </w:trPr>
        <w:tc>
          <w:tcPr>
            <w:tcW w:type="dxa" w:w="2835"/>
          </w:tcPr>
          <w:p>
            <w:pPr>
              <w:spacing w:after="0"/>
            </w:pPr>
            <w:r>
              <w:rPr>
                <w:b w:val="0"/>
                <w:i/>
                <w:color w:val="5F6670"/>
                <w:sz w:val="21"/>
              </w:rPr>
              <w:t>One more measure, or delete this row</w:t>
            </w:r>
          </w:p>
        </w:tc>
        <w:tc>
          <w:tcPr>
            <w:tcW w:type="dxa" w:w="3402"/>
          </w:tcPr>
          <w:p/>
        </w:tc>
        <w:tc>
          <w:tcPr>
            <w:tcW w:type="dxa" w:w="3402"/>
          </w:tcPr>
          <w:p/>
        </w:tc>
      </w:tr>
    </w:tbl>
    <w:p>
      <w:pPr>
        <w:pStyle w:val="Heading2"/>
      </w:pPr>
      <w:r>
        <w:rPr>
          <w:b/>
          <w:i w:val="0"/>
          <w:color w:val="0F1115"/>
          <w:sz w:val="22"/>
        </w:rPr>
        <w:t>Done this week</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35"/>
        <w:gridCol w:w="2608"/>
        <w:gridCol w:w="2494"/>
      </w:tblGrid>
      <w:tr>
        <w:trPr>
          <w:cantSplit/>
          <w:tblHeader/>
        </w:trPr>
        <w:tc>
          <w:tcPr>
            <w:tcW w:type="dxa" w:w="4535"/>
            <w:shd w:val="clear" w:color="auto" w:fill="F4F5F6"/>
          </w:tcPr>
          <w:p>
            <w:pPr>
              <w:spacing w:after="0"/>
            </w:pPr>
            <w:r>
              <w:rPr>
                <w:b/>
                <w:i w:val="0"/>
                <w:color w:val="0F1115"/>
                <w:sz w:val="21"/>
              </w:rPr>
              <w:t>What</w:t>
            </w:r>
          </w:p>
        </w:tc>
        <w:tc>
          <w:tcPr>
            <w:tcW w:type="dxa" w:w="2608"/>
            <w:shd w:val="clear" w:color="auto" w:fill="F4F5F6"/>
          </w:tcPr>
          <w:p>
            <w:pPr>
              <w:spacing w:after="0"/>
            </w:pPr>
            <w:r>
              <w:rPr>
                <w:b/>
                <w:i w:val="0"/>
                <w:color w:val="0F1115"/>
                <w:sz w:val="21"/>
              </w:rPr>
              <w:t>Evidence</w:t>
            </w:r>
          </w:p>
        </w:tc>
        <w:tc>
          <w:tcPr>
            <w:tcW w:type="dxa" w:w="2494"/>
            <w:shd w:val="clear" w:color="auto" w:fill="F4F5F6"/>
          </w:tcPr>
          <w:p>
            <w:pPr>
              <w:spacing w:after="0"/>
            </w:pPr>
            <w:r>
              <w:rPr>
                <w:b/>
                <w:i w:val="0"/>
                <w:color w:val="0F1115"/>
                <w:sz w:val="21"/>
              </w:rPr>
              <w:t>By</w:t>
            </w:r>
          </w:p>
        </w:tc>
      </w:tr>
      <w:tr>
        <w:trPr>
          <w:cantSplit/>
        </w:trPr>
        <w:tc>
          <w:tcPr>
            <w:tcW w:type="dxa" w:w="4535"/>
          </w:tcPr>
          <w:p>
            <w:pPr>
              <w:spacing w:after="0"/>
            </w:pPr>
            <w:r>
              <w:rPr>
                <w:b w:val="0"/>
                <w:i/>
                <w:color w:val="5F6670"/>
                <w:sz w:val="21"/>
              </w:rPr>
              <w:t>Something signed, decided or met this week</w:t>
            </w:r>
          </w:p>
        </w:tc>
        <w:tc>
          <w:tcPr>
            <w:tcW w:type="dxa" w:w="2608"/>
          </w:tcPr>
          <w:p>
            <w:pPr>
              <w:spacing w:after="0"/>
            </w:pPr>
            <w:r>
              <w:rPr>
                <w:b w:val="0"/>
                <w:i/>
                <w:color w:val="5F6670"/>
                <w:sz w:val="21"/>
              </w:rPr>
              <w:t>The file and its Id</w:t>
            </w:r>
          </w:p>
        </w:tc>
        <w:tc>
          <w:tcPr>
            <w:tcW w:type="dxa" w:w="2494"/>
          </w:tcPr>
          <w:p>
            <w:pPr>
              <w:spacing w:after="0"/>
            </w:pPr>
            <w:r>
              <w:rPr>
                <w:b w:val="0"/>
                <w:i/>
                <w:color w:val="5F6670"/>
                <w:sz w:val="21"/>
              </w:rPr>
              <w:t>Name (Role)</w:t>
            </w:r>
          </w:p>
        </w:tc>
      </w:tr>
    </w:tbl>
    <w:p>
      <w:pPr>
        <w:pStyle w:val="Heading1"/>
      </w:pPr>
      <w:r>
        <w:rPr>
          <w:b/>
          <w:i w:val="0"/>
          <w:color w:val="0F1115"/>
          <w:sz w:val="26"/>
        </w:rPr>
        <w:t>3. Money</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969"/>
        <w:gridCol w:w="2835"/>
        <w:gridCol w:w="2835"/>
      </w:tblGrid>
      <w:tr>
        <w:trPr>
          <w:cantSplit/>
          <w:tblHeader/>
        </w:trPr>
        <w:tc>
          <w:tcPr>
            <w:tcW w:type="dxa" w:w="3969"/>
            <w:shd w:val="clear" w:color="auto" w:fill="F4F5F6"/>
          </w:tcPr>
          <w:p>
            <w:pPr>
              <w:spacing w:after="0"/>
            </w:pPr>
            <w:r>
              <w:rPr>
                <w:b/>
                <w:i w:val="0"/>
                <w:color w:val="0F1115"/>
                <w:sz w:val="21"/>
              </w:rPr>
              <w:t>Line</w:t>
            </w:r>
          </w:p>
        </w:tc>
        <w:tc>
          <w:tcPr>
            <w:tcW w:type="dxa" w:w="2835"/>
            <w:shd w:val="clear" w:color="auto" w:fill="F4F5F6"/>
          </w:tcPr>
          <w:p>
            <w:pPr>
              <w:spacing w:after="0"/>
            </w:pPr>
            <w:r>
              <w:rPr>
                <w:b/>
                <w:i w:val="0"/>
                <w:color w:val="0F1115"/>
                <w:sz w:val="21"/>
              </w:rPr>
              <w:t>This week</w:t>
            </w:r>
          </w:p>
        </w:tc>
        <w:tc>
          <w:tcPr>
            <w:tcW w:type="dxa" w:w="2835"/>
            <w:shd w:val="clear" w:color="auto" w:fill="F4F5F6"/>
          </w:tcPr>
          <w:p>
            <w:pPr>
              <w:spacing w:after="0"/>
            </w:pPr>
            <w:r>
              <w:rPr>
                <w:b/>
                <w:i w:val="0"/>
                <w:color w:val="0F1115"/>
                <w:sz w:val="21"/>
              </w:rPr>
              <w:t>Last week</w:t>
            </w:r>
          </w:p>
        </w:tc>
      </w:tr>
      <w:tr>
        <w:trPr>
          <w:cantSplit/>
        </w:trPr>
        <w:tc>
          <w:tcPr>
            <w:tcW w:type="dxa" w:w="3969"/>
          </w:tcPr>
          <w:p>
            <w:pPr>
              <w:spacing w:after="0"/>
            </w:pPr>
            <w:r>
              <w:rPr>
                <w:b w:val="0"/>
                <w:i w:val="0"/>
                <w:color w:val="0F1115"/>
                <w:sz w:val="21"/>
              </w:rPr>
              <w:t>Share</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r>
        <w:trPr>
          <w:cantSplit/>
        </w:trPr>
        <w:tc>
          <w:tcPr>
            <w:tcW w:type="dxa" w:w="3969"/>
          </w:tcPr>
          <w:p>
            <w:pPr>
              <w:spacing w:after="0"/>
            </w:pPr>
            <w:r>
              <w:rPr>
                <w:b w:val="0"/>
                <w:i w:val="0"/>
                <w:color w:val="0F1115"/>
                <w:sz w:val="21"/>
              </w:rPr>
              <w:t>Baselined cost</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r>
        <w:trPr>
          <w:cantSplit/>
        </w:trPr>
        <w:tc>
          <w:tcPr>
            <w:tcW w:type="dxa" w:w="3969"/>
          </w:tcPr>
          <w:p>
            <w:pPr>
              <w:spacing w:after="0"/>
            </w:pPr>
            <w:r>
              <w:rPr>
                <w:b w:val="0"/>
                <w:i w:val="0"/>
                <w:color w:val="0F1115"/>
                <w:sz w:val="21"/>
              </w:rPr>
              <w:t>Owner's limit</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r>
        <w:trPr>
          <w:cantSplit/>
        </w:trPr>
        <w:tc>
          <w:tcPr>
            <w:tcW w:type="dxa" w:w="3969"/>
          </w:tcPr>
          <w:p>
            <w:pPr>
              <w:spacing w:after="0"/>
            </w:pPr>
            <w:r>
              <w:rPr>
                <w:b w:val="0"/>
                <w:i w:val="0"/>
                <w:color w:val="0F1115"/>
                <w:sz w:val="21"/>
              </w:rPr>
              <w:t>Spent to date</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r>
        <w:trPr>
          <w:cantSplit/>
        </w:trPr>
        <w:tc>
          <w:tcPr>
            <w:tcW w:type="dxa" w:w="3969"/>
          </w:tcPr>
          <w:p>
            <w:pPr>
              <w:spacing w:after="0"/>
            </w:pPr>
            <w:r>
              <w:rPr>
                <w:b w:val="0"/>
                <w:i w:val="0"/>
                <w:color w:val="0F1115"/>
                <w:sz w:val="21"/>
              </w:rPr>
              <w:t>Share spent</w:t>
            </w:r>
          </w:p>
        </w:tc>
        <w:tc>
          <w:tcPr>
            <w:tcW w:type="dxa" w:w="2835"/>
          </w:tcPr>
          <w:p>
            <w:pPr>
              <w:spacing w:after="0"/>
            </w:pPr>
            <w:r>
              <w:rPr>
                <w:b w:val="0"/>
                <w:i/>
                <w:color w:val="5F6670"/>
                <w:sz w:val="21"/>
              </w:rPr>
              <w:t>A whole percent</w:t>
            </w:r>
          </w:p>
        </w:tc>
        <w:tc>
          <w:tcPr>
            <w:tcW w:type="dxa" w:w="2835"/>
          </w:tcPr>
          <w:p>
            <w:pPr>
              <w:spacing w:after="0"/>
            </w:pPr>
            <w:r>
              <w:rPr>
                <w:b w:val="0"/>
                <w:i/>
                <w:color w:val="5F6670"/>
                <w:sz w:val="21"/>
              </w:rPr>
              <w:t>A whole percent</w:t>
            </w:r>
          </w:p>
        </w:tc>
      </w:tr>
      <w:tr>
        <w:trPr>
          <w:cantSplit/>
        </w:trPr>
        <w:tc>
          <w:tcPr>
            <w:tcW w:type="dxa" w:w="3969"/>
          </w:tcPr>
          <w:p>
            <w:pPr>
              <w:spacing w:after="0"/>
            </w:pPr>
            <w:r>
              <w:rPr>
                <w:b w:val="0"/>
                <w:i w:val="0"/>
                <w:color w:val="0F1115"/>
                <w:sz w:val="21"/>
              </w:rPr>
              <w:t>Forecast at completion</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r>
        <w:trPr>
          <w:cantSplit/>
        </w:trPr>
        <w:tc>
          <w:tcPr>
            <w:tcW w:type="dxa" w:w="3969"/>
          </w:tcPr>
          <w:p>
            <w:pPr>
              <w:spacing w:after="0"/>
            </w:pPr>
            <w:r>
              <w:rPr>
                <w:b w:val="0"/>
                <w:i w:val="0"/>
                <w:color w:val="0F1115"/>
                <w:sz w:val="21"/>
              </w:rPr>
              <w:t>Over the share</w:t>
            </w:r>
          </w:p>
        </w:tc>
        <w:tc>
          <w:tcPr>
            <w:tcW w:type="dxa" w:w="2835"/>
          </w:tcPr>
          <w:p>
            <w:pPr>
              <w:spacing w:after="0"/>
            </w:pPr>
            <w:r>
              <w:rPr>
                <w:b w:val="0"/>
                <w:i/>
                <w:color w:val="5F6670"/>
                <w:sz w:val="21"/>
              </w:rPr>
              <w:t>Numbers only</w:t>
            </w:r>
          </w:p>
        </w:tc>
        <w:tc>
          <w:tcPr>
            <w:tcW w:type="dxa" w:w="2835"/>
          </w:tcPr>
          <w:p>
            <w:pPr>
              <w:spacing w:after="0"/>
            </w:pPr>
            <w:r>
              <w:rPr>
                <w:b w:val="0"/>
                <w:i/>
                <w:color w:val="5F6670"/>
                <w:sz w:val="21"/>
              </w:rPr>
              <w:t>Numbers only</w:t>
            </w:r>
          </w:p>
        </w:tc>
      </w:tr>
    </w:tbl>
    <w:p>
      <w:pPr>
        <w:keepNext w:val="0"/>
        <w:spacing w:after="4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Forecast given by</w:t>
            </w:r>
          </w:p>
        </w:tc>
        <w:tc>
          <w:tcPr>
            <w:tcW w:type="dxa" w:w="7370"/>
          </w:tcPr>
          <w:p>
            <w:pPr>
              <w:spacing w:after="0"/>
            </w:pPr>
            <w:r>
              <w:rPr>
                <w:b w:val="0"/>
                <w:i/>
                <w:color w:val="5F6670"/>
                <w:sz w:val="21"/>
              </w:rPr>
              <w:t>Name (Role), and the day</w:t>
            </w:r>
          </w:p>
        </w:tc>
      </w:tr>
      <w:tr>
        <w:trPr>
          <w:cantSplit/>
        </w:trPr>
        <w:tc>
          <w:tcPr>
            <w:tcW w:type="dxa" w:w="2268"/>
          </w:tcPr>
          <w:p>
            <w:pPr>
              <w:spacing w:after="0"/>
            </w:pPr>
            <w:r>
              <w:rPr>
                <w:b/>
                <w:i w:val="0"/>
                <w:color w:val="0F1115"/>
                <w:sz w:val="21"/>
              </w:rPr>
              <w:t>Spent given by</w:t>
            </w:r>
          </w:p>
        </w:tc>
        <w:tc>
          <w:tcPr>
            <w:tcW w:type="dxa" w:w="7370"/>
          </w:tcPr>
          <w:p>
            <w:pPr>
              <w:spacing w:after="0"/>
            </w:pPr>
            <w:r>
              <w:rPr>
                <w:b w:val="0"/>
                <w:i/>
                <w:color w:val="5F6670"/>
                <w:sz w:val="21"/>
              </w:rPr>
              <w:t>Name (Role), and the day</w:t>
            </w:r>
          </w:p>
        </w:tc>
      </w:tr>
    </w:tbl>
    <w:p>
      <w:pPr>
        <w:pStyle w:val="Heading1"/>
      </w:pPr>
      <w:r>
        <w:rPr>
          <w:b/>
          <w:i w:val="0"/>
          <w:color w:val="0F1115"/>
          <w:sz w:val="26"/>
        </w:rPr>
        <w:t>4. Dates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1928"/>
        <w:gridCol w:w="1928"/>
        <w:gridCol w:w="1474"/>
        <w:gridCol w:w="1928"/>
      </w:tblGrid>
      <w:tr>
        <w:trPr>
          <w:cantSplit/>
          <w:tblHeader/>
        </w:trPr>
        <w:tc>
          <w:tcPr>
            <w:tcW w:type="dxa" w:w="2381"/>
            <w:shd w:val="clear" w:color="auto" w:fill="F4F5F6"/>
          </w:tcPr>
          <w:p>
            <w:pPr>
              <w:spacing w:after="0"/>
            </w:pPr>
            <w:r>
              <w:rPr>
                <w:b/>
                <w:i w:val="0"/>
                <w:color w:val="0F1115"/>
                <w:sz w:val="21"/>
              </w:rPr>
              <w:t>Milestone</w:t>
            </w:r>
          </w:p>
        </w:tc>
        <w:tc>
          <w:tcPr>
            <w:tcW w:type="dxa" w:w="1928"/>
            <w:shd w:val="clear" w:color="auto" w:fill="F4F5F6"/>
          </w:tcPr>
          <w:p>
            <w:pPr>
              <w:spacing w:after="0"/>
            </w:pPr>
            <w:r>
              <w:rPr>
                <w:b/>
                <w:i w:val="0"/>
                <w:color w:val="0F1115"/>
                <w:sz w:val="21"/>
              </w:rPr>
              <w:t>Baselined</w:t>
            </w:r>
          </w:p>
        </w:tc>
        <w:tc>
          <w:tcPr>
            <w:tcW w:type="dxa" w:w="1928"/>
            <w:shd w:val="clear" w:color="auto" w:fill="F4F5F6"/>
          </w:tcPr>
          <w:p>
            <w:pPr>
              <w:spacing w:after="0"/>
            </w:pPr>
            <w:r>
              <w:rPr>
                <w:b/>
                <w:i w:val="0"/>
                <w:color w:val="0F1115"/>
                <w:sz w:val="21"/>
              </w:rPr>
              <w:t>Forecast</w:t>
            </w:r>
          </w:p>
        </w:tc>
        <w:tc>
          <w:tcPr>
            <w:tcW w:type="dxa" w:w="1474"/>
            <w:shd w:val="clear" w:color="auto" w:fill="F4F5F6"/>
          </w:tcPr>
          <w:p>
            <w:pPr>
              <w:spacing w:after="0"/>
            </w:pPr>
            <w:r>
              <w:rPr>
                <w:b/>
                <w:i w:val="0"/>
                <w:color w:val="0F1115"/>
                <w:sz w:val="21"/>
              </w:rPr>
              <w:t>Working days late</w:t>
            </w:r>
          </w:p>
        </w:tc>
        <w:tc>
          <w:tcPr>
            <w:tcW w:type="dxa" w:w="1928"/>
            <w:shd w:val="clear" w:color="auto" w:fill="F4F5F6"/>
          </w:tcPr>
          <w:p>
            <w:pPr>
              <w:spacing w:after="0"/>
            </w:pPr>
            <w:r>
              <w:rPr>
                <w:b/>
                <w:i w:val="0"/>
                <w:color w:val="0F1115"/>
                <w:sz w:val="21"/>
              </w:rPr>
              <w:t>Reading</w:t>
            </w:r>
          </w:p>
        </w:tc>
      </w:tr>
      <w:tr>
        <w:trPr>
          <w:cantSplit/>
        </w:trPr>
        <w:tc>
          <w:tcPr>
            <w:tcW w:type="dxa" w:w="2381"/>
          </w:tcPr>
          <w:p>
            <w:pPr>
              <w:spacing w:after="0"/>
            </w:pPr>
            <w:r>
              <w:rPr>
                <w:b w:val="0"/>
                <w:i/>
                <w:color w:val="5F6670"/>
                <w:sz w:val="21"/>
              </w:rPr>
              <w:t>A gate, or the plan's name for the row</w:t>
            </w:r>
          </w:p>
        </w:tc>
        <w:tc>
          <w:tcPr>
            <w:tcW w:type="dxa" w:w="1928"/>
          </w:tcPr>
          <w:p>
            <w:pPr>
              <w:spacing w:after="0"/>
            </w:pPr>
            <w:r>
              <w:rPr>
                <w:b w:val="0"/>
                <w:i/>
                <w:color w:val="5F6670"/>
                <w:sz w:val="21"/>
              </w:rPr>
              <w:t>A date</w:t>
            </w:r>
          </w:p>
        </w:tc>
        <w:tc>
          <w:tcPr>
            <w:tcW w:type="dxa" w:w="1928"/>
          </w:tcPr>
          <w:p>
            <w:pPr>
              <w:spacing w:after="0"/>
            </w:pPr>
            <w:r>
              <w:rPr>
                <w:b w:val="0"/>
                <w:i/>
                <w:color w:val="5F6670"/>
                <w:sz w:val="21"/>
              </w:rPr>
              <w:t>A date</w:t>
            </w:r>
          </w:p>
        </w:tc>
        <w:tc>
          <w:tcPr>
            <w:tcW w:type="dxa" w:w="1474"/>
          </w:tcPr>
          <w:p>
            <w:pPr>
              <w:spacing w:after="0"/>
            </w:pPr>
            <w:r>
              <w:rPr>
                <w:b w:val="0"/>
                <w:i/>
                <w:color w:val="5F6670"/>
                <w:sz w:val="21"/>
              </w:rPr>
              <w:t>Monday to Friday, counted</w:t>
            </w:r>
          </w:p>
        </w:tc>
        <w:tc>
          <w:tcPr>
            <w:tcW w:type="dxa" w:w="1928"/>
            <w:shd w:val="clear" w:color="auto" w:fill="E4E7EA"/>
          </w:tcPr>
          <w:p>
            <w:pPr>
              <w:spacing w:after="0"/>
            </w:pPr>
            <w:r>
              <w:rPr>
                <w:b w:val="0"/>
                <w:i/>
                <w:color w:val="5F6670"/>
                <w:sz w:val="21"/>
              </w:rPr>
              <w:t>Green, Amber, Red, or Provided by another project</w:t>
            </w:r>
          </w:p>
        </w:tc>
      </w:tr>
    </w:tbl>
    <w:p>
      <w:pPr>
        <w:pStyle w:val="Heading1"/>
      </w:pPr>
      <w:r>
        <w:rPr>
          <w:b/>
          <w:i w:val="0"/>
          <w:color w:val="0F1115"/>
          <w:sz w:val="26"/>
        </w:rPr>
        <w:t>5. Changes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3175"/>
        <w:gridCol w:w="907"/>
        <w:gridCol w:w="794"/>
        <w:gridCol w:w="1814"/>
        <w:gridCol w:w="2154"/>
      </w:tblGrid>
      <w:tr>
        <w:trPr>
          <w:cantSplit/>
          <w:tblHeader/>
        </w:trPr>
        <w:tc>
          <w:tcPr>
            <w:tcW w:type="dxa" w:w="794"/>
            <w:shd w:val="clear" w:color="auto" w:fill="F4F5F6"/>
          </w:tcPr>
          <w:p>
            <w:pPr>
              <w:spacing w:after="0"/>
            </w:pPr>
            <w:r>
              <w:rPr>
                <w:b/>
                <w:i w:val="0"/>
                <w:color w:val="0F1115"/>
                <w:sz w:val="21"/>
              </w:rPr>
              <w:t>No.</w:t>
            </w:r>
          </w:p>
        </w:tc>
        <w:tc>
          <w:tcPr>
            <w:tcW w:type="dxa" w:w="3175"/>
            <w:shd w:val="clear" w:color="auto" w:fill="F4F5F6"/>
          </w:tcPr>
          <w:p>
            <w:pPr>
              <w:spacing w:after="0"/>
            </w:pPr>
            <w:r>
              <w:rPr>
                <w:b/>
                <w:i w:val="0"/>
                <w:color w:val="0F1115"/>
                <w:sz w:val="21"/>
              </w:rPr>
              <w:t>Change</w:t>
            </w:r>
          </w:p>
        </w:tc>
        <w:tc>
          <w:tcPr>
            <w:tcW w:type="dxa" w:w="907"/>
            <w:shd w:val="clear" w:color="auto" w:fill="F4F5F6"/>
          </w:tcPr>
          <w:p>
            <w:pPr>
              <w:spacing w:after="0"/>
            </w:pPr>
            <w:r>
              <w:rPr>
                <w:b/>
                <w:i w:val="0"/>
                <w:color w:val="0F1115"/>
                <w:sz w:val="21"/>
              </w:rPr>
              <w:t>Scope</w:t>
            </w:r>
          </w:p>
        </w:tc>
        <w:tc>
          <w:tcPr>
            <w:tcW w:type="dxa" w:w="794"/>
            <w:shd w:val="clear" w:color="auto" w:fill="F4F5F6"/>
          </w:tcPr>
          <w:p>
            <w:pPr>
              <w:spacing w:after="0"/>
            </w:pPr>
            <w:r>
              <w:rPr>
                <w:b/>
                <w:i w:val="0"/>
                <w:color w:val="0F1115"/>
                <w:sz w:val="21"/>
              </w:rPr>
              <w:t>Cost</w:t>
            </w:r>
          </w:p>
        </w:tc>
        <w:tc>
          <w:tcPr>
            <w:tcW w:type="dxa" w:w="1814"/>
            <w:shd w:val="clear" w:color="auto" w:fill="F4F5F6"/>
          </w:tcPr>
          <w:p>
            <w:pPr>
              <w:spacing w:after="0"/>
            </w:pPr>
            <w:r>
              <w:rPr>
                <w:b/>
                <w:i w:val="0"/>
                <w:color w:val="0F1115"/>
                <w:sz w:val="21"/>
              </w:rPr>
              <w:t>Date</w:t>
            </w:r>
          </w:p>
        </w:tc>
        <w:tc>
          <w:tcPr>
            <w:tcW w:type="dxa" w:w="2154"/>
            <w:shd w:val="clear" w:color="auto" w:fill="F4F5F6"/>
          </w:tcPr>
          <w:p>
            <w:pPr>
              <w:spacing w:after="0"/>
            </w:pPr>
            <w:r>
              <w:rPr>
                <w:b/>
                <w:i w:val="0"/>
                <w:color w:val="0F1115"/>
                <w:sz w:val="21"/>
              </w:rPr>
              <w:t>Status</w:t>
            </w:r>
          </w:p>
        </w:tc>
      </w:tr>
      <w:tr>
        <w:trPr>
          <w:cantSplit/>
        </w:trPr>
        <w:tc>
          <w:tcPr>
            <w:tcW w:type="dxa" w:w="794"/>
          </w:tcPr>
          <w:p>
            <w:pPr>
              <w:spacing w:after="0"/>
            </w:pPr>
            <w:r>
              <w:rPr>
                <w:b w:val="0"/>
                <w:i/>
                <w:color w:val="5F6670"/>
                <w:sz w:val="21"/>
              </w:rPr>
              <w:t>CR-n while raised, CH-n once approved</w:t>
            </w:r>
          </w:p>
        </w:tc>
        <w:tc>
          <w:tcPr>
            <w:tcW w:type="dxa" w:w="3175"/>
          </w:tcPr>
          <w:p>
            <w:pPr>
              <w:spacing w:after="0"/>
            </w:pPr>
            <w:r>
              <w:rPr>
                <w:b w:val="0"/>
                <w:i/>
                <w:color w:val="5F6670"/>
                <w:sz w:val="21"/>
              </w:rPr>
              <w:t>What moves, and why</w:t>
            </w:r>
          </w:p>
        </w:tc>
        <w:tc>
          <w:tcPr>
            <w:tcW w:type="dxa" w:w="907"/>
          </w:tcPr>
          <w:p>
            <w:pPr>
              <w:spacing w:after="0"/>
            </w:pPr>
            <w:r>
              <w:rPr>
                <w:b w:val="0"/>
                <w:i/>
                <w:color w:val="5F6670"/>
                <w:sz w:val="21"/>
              </w:rPr>
              <w:t>None, More, Less or Changed</w:t>
            </w:r>
          </w:p>
        </w:tc>
        <w:tc>
          <w:tcPr>
            <w:tcW w:type="dxa" w:w="794"/>
          </w:tcPr>
          <w:p>
            <w:pPr>
              <w:spacing w:after="0"/>
            </w:pPr>
            <w:r>
              <w:rPr>
                <w:b w:val="0"/>
                <w:i/>
                <w:color w:val="5F6670"/>
                <w:sz w:val="21"/>
              </w:rPr>
              <w:t>0, or the amount</w:t>
            </w:r>
          </w:p>
        </w:tc>
        <w:tc>
          <w:tcPr>
            <w:tcW w:type="dxa" w:w="1814"/>
          </w:tcPr>
          <w:p>
            <w:pPr>
              <w:spacing w:after="0"/>
            </w:pPr>
            <w:r>
              <w:rPr>
                <w:b w:val="0"/>
                <w:i/>
                <w:color w:val="5F6670"/>
                <w:sz w:val="21"/>
              </w:rPr>
              <w:t>0, or the working days</w:t>
            </w:r>
          </w:p>
        </w:tc>
        <w:tc>
          <w:tcPr>
            <w:tcW w:type="dxa" w:w="2154"/>
          </w:tcPr>
          <w:p>
            <w:pPr>
              <w:spacing w:after="0"/>
            </w:pPr>
            <w:r>
              <w:rPr>
                <w:b w:val="0"/>
                <w:i/>
                <w:color w:val="5F6670"/>
                <w:sz w:val="21"/>
              </w:rPr>
              <w:t>Raised, and who decides by when; or Approved and the day</w:t>
            </w:r>
          </w:p>
        </w:tc>
      </w:tr>
    </w:tbl>
    <w:p>
      <w:pPr>
        <w:pStyle w:val="Heading1"/>
      </w:pPr>
      <w:r>
        <w:rPr>
          <w:b/>
          <w:i w:val="0"/>
          <w:color w:val="0F1115"/>
          <w:sz w:val="26"/>
        </w:rPr>
        <w:t>6. Risks and issues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3572"/>
        <w:gridCol w:w="2154"/>
        <w:gridCol w:w="3231"/>
      </w:tblGrid>
      <w:tr>
        <w:trPr>
          <w:cantSplit/>
          <w:tblHeader/>
        </w:trPr>
        <w:tc>
          <w:tcPr>
            <w:tcW w:type="dxa" w:w="680"/>
            <w:shd w:val="clear" w:color="auto" w:fill="F4F5F6"/>
          </w:tcPr>
          <w:p>
            <w:pPr>
              <w:spacing w:after="0"/>
            </w:pPr>
            <w:r>
              <w:rPr>
                <w:b/>
                <w:i w:val="0"/>
                <w:color w:val="0F1115"/>
                <w:sz w:val="21"/>
              </w:rPr>
              <w:t>Id</w:t>
            </w:r>
          </w:p>
        </w:tc>
        <w:tc>
          <w:tcPr>
            <w:tcW w:type="dxa" w:w="3572"/>
            <w:shd w:val="clear" w:color="auto" w:fill="F4F5F6"/>
          </w:tcPr>
          <w:p>
            <w:pPr>
              <w:spacing w:after="0"/>
            </w:pPr>
            <w:r>
              <w:rPr>
                <w:b/>
                <w:i w:val="0"/>
                <w:color w:val="0F1115"/>
                <w:sz w:val="21"/>
              </w:rPr>
              <w:t>What</w:t>
            </w:r>
          </w:p>
        </w:tc>
        <w:tc>
          <w:tcPr>
            <w:tcW w:type="dxa" w:w="2154"/>
            <w:shd w:val="clear" w:color="auto" w:fill="F4F5F6"/>
          </w:tcPr>
          <w:p>
            <w:pPr>
              <w:spacing w:after="0"/>
            </w:pPr>
            <w:r>
              <w:rPr>
                <w:b/>
                <w:i w:val="0"/>
                <w:color w:val="0F1115"/>
                <w:sz w:val="21"/>
              </w:rPr>
              <w:t>Owner</w:t>
            </w:r>
          </w:p>
        </w:tc>
        <w:tc>
          <w:tcPr>
            <w:tcW w:type="dxa" w:w="3231"/>
            <w:shd w:val="clear" w:color="auto" w:fill="F4F5F6"/>
          </w:tcPr>
          <w:p>
            <w:pPr>
              <w:spacing w:after="0"/>
            </w:pPr>
            <w:r>
              <w:rPr>
                <w:b/>
                <w:i w:val="0"/>
                <w:color w:val="0F1115"/>
                <w:sz w:val="21"/>
              </w:rPr>
              <w:t>Response</w:t>
            </w:r>
          </w:p>
        </w:tc>
      </w:tr>
      <w:tr>
        <w:trPr>
          <w:cantSplit/>
        </w:trPr>
        <w:tc>
          <w:tcPr>
            <w:tcW w:type="dxa" w:w="680"/>
          </w:tcPr>
          <w:p>
            <w:pPr>
              <w:spacing w:after="0"/>
            </w:pPr>
            <w:r>
              <w:rPr>
                <w:b w:val="0"/>
                <w:i/>
                <w:color w:val="5F6670"/>
                <w:sz w:val="21"/>
              </w:rPr>
              <w:t>As the RAID log has it</w:t>
            </w:r>
          </w:p>
        </w:tc>
        <w:tc>
          <w:tcPr>
            <w:tcW w:type="dxa" w:w="3572"/>
          </w:tcPr>
          <w:p>
            <w:pPr>
              <w:spacing w:after="0"/>
            </w:pPr>
            <w:r>
              <w:rPr>
                <w:b w:val="0"/>
                <w:i/>
                <w:color w:val="5F6670"/>
                <w:sz w:val="21"/>
              </w:rPr>
              <w:t>As the RAID log has it</w:t>
            </w:r>
          </w:p>
        </w:tc>
        <w:tc>
          <w:tcPr>
            <w:tcW w:type="dxa" w:w="2154"/>
          </w:tcPr>
          <w:p>
            <w:pPr>
              <w:spacing w:after="0"/>
            </w:pPr>
            <w:r>
              <w:rPr>
                <w:b w:val="0"/>
                <w:i/>
                <w:color w:val="5F6670"/>
                <w:sz w:val="21"/>
              </w:rPr>
              <w:t>As the RAID log has it</w:t>
            </w:r>
          </w:p>
        </w:tc>
        <w:tc>
          <w:tcPr>
            <w:tcW w:type="dxa" w:w="3231"/>
          </w:tcPr>
          <w:p>
            <w:pPr>
              <w:spacing w:after="0"/>
            </w:pPr>
            <w:r>
              <w:rPr>
                <w:b w:val="0"/>
                <w:i/>
                <w:color w:val="5F6670"/>
                <w:sz w:val="21"/>
              </w:rPr>
              <w:t>As the RAID log has it, or None yet</w:t>
            </w:r>
          </w:p>
        </w:tc>
      </w:tr>
    </w:tbl>
    <w:p>
      <w:pPr>
        <w:pStyle w:val="Heading1"/>
      </w:pPr>
      <w:r>
        <w:rPr>
          <w:b/>
          <w:i w:val="0"/>
          <w:color w:val="0F1115"/>
          <w:sz w:val="26"/>
        </w:rPr>
        <w:t>7. Decisions needed</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443"/>
        <w:gridCol w:w="2381"/>
        <w:gridCol w:w="1814"/>
      </w:tblGrid>
      <w:tr>
        <w:trPr>
          <w:cantSplit/>
          <w:tblHeader/>
        </w:trPr>
        <w:tc>
          <w:tcPr>
            <w:tcW w:type="dxa" w:w="5443"/>
            <w:shd w:val="clear" w:color="auto" w:fill="F4F5F6"/>
          </w:tcPr>
          <w:p>
            <w:pPr>
              <w:spacing w:after="0"/>
            </w:pPr>
            <w:r>
              <w:rPr>
                <w:b/>
                <w:i w:val="0"/>
                <w:color w:val="0F1115"/>
                <w:sz w:val="21"/>
              </w:rPr>
              <w:t>Decision needed</w:t>
            </w:r>
          </w:p>
        </w:tc>
        <w:tc>
          <w:tcPr>
            <w:tcW w:type="dxa" w:w="2381"/>
            <w:shd w:val="clear" w:color="auto" w:fill="F4F5F6"/>
          </w:tcPr>
          <w:p>
            <w:pPr>
              <w:spacing w:after="0"/>
            </w:pPr>
            <w:r>
              <w:rPr>
                <w:b/>
                <w:i w:val="0"/>
                <w:color w:val="0F1115"/>
                <w:sz w:val="21"/>
              </w:rPr>
              <w:t>From</w:t>
            </w:r>
          </w:p>
        </w:tc>
        <w:tc>
          <w:tcPr>
            <w:tcW w:type="dxa" w:w="1814"/>
            <w:shd w:val="clear" w:color="auto" w:fill="F4F5F6"/>
          </w:tcPr>
          <w:p>
            <w:pPr>
              <w:spacing w:after="0"/>
            </w:pPr>
            <w:r>
              <w:rPr>
                <w:b/>
                <w:i w:val="0"/>
                <w:color w:val="0F1115"/>
                <w:sz w:val="21"/>
              </w:rPr>
              <w:t>By</w:t>
            </w:r>
          </w:p>
        </w:tc>
      </w:tr>
      <w:tr>
        <w:trPr>
          <w:cantSplit/>
        </w:trPr>
        <w:tc>
          <w:tcPr>
            <w:tcW w:type="dxa" w:w="5443"/>
          </w:tcPr>
          <w:p>
            <w:pPr>
              <w:spacing w:after="0"/>
            </w:pPr>
            <w:r>
              <w:rPr>
                <w:b w:val="0"/>
                <w:i/>
                <w:color w:val="5F6670"/>
                <w:sz w:val="21"/>
              </w:rPr>
              <w:t>A decision someone else has to make</w:t>
            </w:r>
          </w:p>
        </w:tc>
        <w:tc>
          <w:tcPr>
            <w:tcW w:type="dxa" w:w="2381"/>
          </w:tcPr>
          <w:p>
            <w:pPr>
              <w:spacing w:after="0"/>
            </w:pPr>
            <w:r>
              <w:rPr>
                <w:b w:val="0"/>
                <w:i/>
                <w:color w:val="5F6670"/>
                <w:sz w:val="21"/>
              </w:rPr>
              <w:t>Name (Role)</w:t>
            </w:r>
          </w:p>
        </w:tc>
        <w:tc>
          <w:tcPr>
            <w:tcW w:type="dxa" w:w="1814"/>
          </w:tcPr>
          <w:p>
            <w:pPr>
              <w:spacing w:after="0"/>
            </w:pPr>
            <w:r>
              <w:rPr>
                <w:b w:val="0"/>
                <w:i/>
                <w:color w:val="5F6670"/>
                <w:sz w:val="21"/>
              </w:rPr>
              <w:t>A weekday</w:t>
            </w:r>
          </w:p>
        </w:tc>
      </w:tr>
    </w:tbl>
    <w:p>
      <w:pPr>
        <w:pStyle w:val="Heading1"/>
      </w:pPr>
      <w:r>
        <w:rPr>
          <w:b/>
          <w:i w:val="0"/>
          <w:color w:val="0F1115"/>
          <w:sz w:val="26"/>
        </w:rPr>
        <w:t>8. Coming up</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35"/>
        <w:gridCol w:w="1928"/>
        <w:gridCol w:w="3175"/>
      </w:tblGrid>
      <w:tr>
        <w:trPr>
          <w:cantSplit/>
          <w:tblHeader/>
        </w:trPr>
        <w:tc>
          <w:tcPr>
            <w:tcW w:type="dxa" w:w="4535"/>
            <w:shd w:val="clear" w:color="auto" w:fill="F4F5F6"/>
          </w:tcPr>
          <w:p>
            <w:pPr>
              <w:spacing w:after="0"/>
            </w:pPr>
            <w:r>
              <w:rPr>
                <w:b/>
                <w:i w:val="0"/>
                <w:color w:val="0F1115"/>
                <w:sz w:val="21"/>
              </w:rPr>
              <w:t>What</w:t>
            </w:r>
          </w:p>
        </w:tc>
        <w:tc>
          <w:tcPr>
            <w:tcW w:type="dxa" w:w="1928"/>
            <w:shd w:val="clear" w:color="auto" w:fill="F4F5F6"/>
          </w:tcPr>
          <w:p>
            <w:pPr>
              <w:spacing w:after="0"/>
            </w:pPr>
            <w:r>
              <w:rPr>
                <w:b/>
                <w:i w:val="0"/>
                <w:color w:val="0F1115"/>
                <w:sz w:val="21"/>
              </w:rPr>
              <w:t>On</w:t>
            </w:r>
          </w:p>
        </w:tc>
        <w:tc>
          <w:tcPr>
            <w:tcW w:type="dxa" w:w="3175"/>
            <w:shd w:val="clear" w:color="auto" w:fill="F4F5F6"/>
          </w:tcPr>
          <w:p>
            <w:pPr>
              <w:spacing w:after="0"/>
            </w:pPr>
            <w:r>
              <w:rPr>
                <w:b/>
                <w:i w:val="0"/>
                <w:color w:val="0F1115"/>
                <w:sz w:val="21"/>
              </w:rPr>
              <w:t>Who</w:t>
            </w:r>
          </w:p>
        </w:tc>
      </w:tr>
      <w:tr>
        <w:trPr>
          <w:cantSplit/>
        </w:trPr>
        <w:tc>
          <w:tcPr>
            <w:tcW w:type="dxa" w:w="4535"/>
          </w:tcPr>
          <w:p>
            <w:pPr>
              <w:spacing w:after="0"/>
            </w:pPr>
            <w:r>
              <w:rPr>
                <w:b w:val="0"/>
                <w:i/>
                <w:color w:val="5F6670"/>
                <w:sz w:val="21"/>
              </w:rPr>
              <w:t>What happens in the next two weeks</w:t>
            </w:r>
          </w:p>
        </w:tc>
        <w:tc>
          <w:tcPr>
            <w:tcW w:type="dxa" w:w="1928"/>
          </w:tcPr>
          <w:p>
            <w:pPr>
              <w:spacing w:after="0"/>
            </w:pPr>
            <w:r>
              <w:rPr>
                <w:b w:val="0"/>
                <w:i/>
                <w:color w:val="5F6670"/>
                <w:sz w:val="21"/>
              </w:rPr>
              <w:t>A weekday</w:t>
            </w:r>
          </w:p>
        </w:tc>
        <w:tc>
          <w:tcPr>
            <w:tcW w:type="dxa" w:w="3175"/>
          </w:tcPr>
          <w:p>
            <w:pPr>
              <w:spacing w:after="0"/>
            </w:pPr>
            <w:r>
              <w:rPr>
                <w:b w:val="0"/>
                <w:i/>
                <w:color w:val="5F6670"/>
                <w:sz w:val="21"/>
              </w:rPr>
              <w:t>Name (Role)</w:t>
            </w:r>
          </w:p>
        </w:tc>
      </w:tr>
    </w:tbl>
    <w:p>
      <w:pPr>
        <w:pStyle w:val="Heading1"/>
      </w:pPr>
      <w:r>
        <w:rPr>
          <w:b/>
          <w:i w:val="0"/>
          <w:color w:val="0F1115"/>
          <w:sz w:val="26"/>
        </w:rPr>
        <w:t>9. Approval</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041"/>
        <w:gridCol w:w="4649"/>
        <w:gridCol w:w="2948"/>
      </w:tblGrid>
      <w:tr>
        <w:trPr>
          <w:cantSplit/>
          <w:tblHeader/>
        </w:trPr>
        <w:tc>
          <w:tcPr>
            <w:tcW w:type="dxa" w:w="2041"/>
            <w:shd w:val="clear" w:color="auto" w:fill="F4F5F6"/>
          </w:tcPr>
          <w:p>
            <w:pPr>
              <w:spacing w:after="0"/>
            </w:pPr>
            <w:r>
              <w:rPr>
                <w:b/>
                <w:i w:val="0"/>
                <w:color w:val="0F1115"/>
                <w:sz w:val="21"/>
              </w:rPr>
              <w:t>Step</w:t>
            </w:r>
          </w:p>
        </w:tc>
        <w:tc>
          <w:tcPr>
            <w:tcW w:type="dxa" w:w="4649"/>
            <w:shd w:val="clear" w:color="auto" w:fill="F4F5F6"/>
          </w:tcPr>
          <w:p>
            <w:pPr>
              <w:spacing w:after="0"/>
            </w:pPr>
            <w:r>
              <w:rPr>
                <w:b/>
                <w:i w:val="0"/>
                <w:color w:val="0F1115"/>
                <w:sz w:val="21"/>
              </w:rPr>
              <w:t>Name</w:t>
            </w:r>
          </w:p>
        </w:tc>
        <w:tc>
          <w:tcPr>
            <w:tcW w:type="dxa" w:w="2948"/>
            <w:shd w:val="clear" w:color="auto" w:fill="F4F5F6"/>
          </w:tcPr>
          <w:p>
            <w:pPr>
              <w:spacing w:after="0"/>
            </w:pPr>
            <w:r>
              <w:rPr>
                <w:b/>
                <w:i w:val="0"/>
                <w:color w:val="0F1115"/>
                <w:sz w:val="21"/>
              </w:rPr>
              <w:t>Day</w:t>
            </w:r>
          </w:p>
        </w:tc>
      </w:tr>
      <w:tr>
        <w:trPr>
          <w:cantSplit/>
        </w:trPr>
        <w:tc>
          <w:tcPr>
            <w:tcW w:type="dxa" w:w="2041"/>
          </w:tcPr>
          <w:p>
            <w:pPr>
              <w:spacing w:after="0"/>
            </w:pPr>
            <w:r>
              <w:rPr>
                <w:b w:val="0"/>
                <w:i w:val="0"/>
                <w:color w:val="0F1115"/>
                <w:sz w:val="21"/>
              </w:rPr>
              <w:t>Prepared by</w:t>
            </w:r>
          </w:p>
        </w:tc>
        <w:tc>
          <w:tcPr>
            <w:tcW w:type="dxa" w:w="4649"/>
          </w:tcPr>
          <w:p>
            <w:pPr>
              <w:spacing w:after="0"/>
            </w:pPr>
            <w:r>
              <w:rPr>
                <w:b w:val="0"/>
                <w:i/>
                <w:color w:val="5F6670"/>
                <w:sz w:val="21"/>
              </w:rPr>
              <w:t>Name (Role)</w:t>
            </w:r>
          </w:p>
        </w:tc>
        <w:tc>
          <w:tcPr>
            <w:tcW w:type="dxa" w:w="2948"/>
          </w:tcPr>
          <w:p>
            <w:pPr>
              <w:spacing w:after="0"/>
            </w:pPr>
            <w:r>
              <w:rPr>
                <w:b w:val="0"/>
                <w:i/>
                <w:color w:val="5F6670"/>
                <w:sz w:val="21"/>
              </w:rPr>
              <w:t>A weekday</w:t>
            </w:r>
          </w:p>
        </w:tc>
      </w:tr>
      <w:tr>
        <w:trPr>
          <w:cantSplit/>
        </w:trPr>
        <w:tc>
          <w:tcPr>
            <w:tcW w:type="dxa" w:w="2041"/>
          </w:tcPr>
          <w:p>
            <w:pPr>
              <w:spacing w:after="0"/>
            </w:pPr>
            <w:r>
              <w:rPr>
                <w:b w:val="0"/>
                <w:i w:val="0"/>
                <w:color w:val="0F1115"/>
                <w:sz w:val="21"/>
              </w:rPr>
              <w:t>Approved by</w:t>
            </w:r>
          </w:p>
        </w:tc>
        <w:tc>
          <w:tcPr>
            <w:tcW w:type="dxa" w:w="4649"/>
          </w:tcPr>
          <w:p>
            <w:pPr>
              <w:spacing w:after="0"/>
            </w:pPr>
            <w:r>
              <w:rPr>
                <w:b w:val="0"/>
                <w:i/>
                <w:color w:val="5F6670"/>
                <w:sz w:val="21"/>
              </w:rPr>
              <w:t>Name (Role)</w:t>
            </w:r>
          </w:p>
        </w:tc>
        <w:tc>
          <w:tcPr>
            <w:tcW w:type="dxa" w:w="2948"/>
          </w:tcPr>
          <w:p>
            <w:pPr>
              <w:spacing w:after="0"/>
            </w:pPr>
            <w:r>
              <w:rPr>
                <w:b w:val="0"/>
                <w:i/>
                <w:color w:val="5F6670"/>
                <w:sz w:val="21"/>
              </w:rPr>
              <w:t>A weekday</w:t>
            </w:r>
          </w:p>
        </w:tc>
      </w:tr>
      <w:tr>
        <w:trPr>
          <w:cantSplit/>
        </w:trPr>
        <w:tc>
          <w:tcPr>
            <w:tcW w:type="dxa" w:w="2041"/>
          </w:tcPr>
          <w:p>
            <w:pPr>
              <w:spacing w:after="0"/>
            </w:pPr>
            <w:r>
              <w:rPr>
                <w:b w:val="0"/>
                <w:i w:val="0"/>
                <w:color w:val="0F1115"/>
                <w:sz w:val="21"/>
              </w:rPr>
              <w:t>Sent to</w:t>
            </w:r>
          </w:p>
        </w:tc>
        <w:tc>
          <w:tcPr>
            <w:tcW w:type="dxa" w:w="4649"/>
          </w:tcPr>
          <w:p>
            <w:pPr>
              <w:spacing w:after="0"/>
            </w:pPr>
            <w:r>
              <w:rPr>
                <w:b w:val="0"/>
                <w:i/>
                <w:color w:val="5F6670"/>
                <w:sz w:val="21"/>
              </w:rPr>
              <w:t>Name (Role)</w:t>
            </w:r>
          </w:p>
        </w:tc>
        <w:tc>
          <w:tcPr>
            <w:tcW w:type="dxa" w:w="2948"/>
          </w:tcPr>
          <w:p>
            <w:pPr>
              <w:spacing w:after="0"/>
            </w:pPr>
            <w:r>
              <w:rPr>
                <w:b w:val="0"/>
                <w:i/>
                <w:color w:val="5F6670"/>
                <w:sz w:val="21"/>
              </w:rPr>
              <w:t>A weekday</w:t>
            </w:r>
          </w:p>
        </w:tc>
      </w:tr>
    </w:tbl>
    <w:p>
      <w:pPr>
        <w:spacing w:after="0"/>
      </w:pPr>
      <w:r>
        <w:br w:type="page"/>
      </w:r>
    </w:p>
    <w:p>
      <w:pPr>
        <w:pStyle w:val="Heading1"/>
      </w:pPr>
      <w:r>
        <w:rPr>
          <w:b/>
          <w:i w:val="0"/>
          <w:color w:val="0F1115"/>
          <w:sz w:val="26"/>
        </w:rPr>
        <w:t>Review questions</w:t>
      </w:r>
    </w:p>
    <w:p>
      <w:pPr>
        <w:keepNext w:val="0"/>
        <w:spacing w:after="80" w:before="0"/>
      </w:pPr>
      <w:r>
        <w:rPr>
          <w:b w:val="0"/>
          <w:i w:val="0"/>
          <w:color w:val="0F1115"/>
          <w:sz w:val="21"/>
        </w:rPr>
        <w:t>The Owner asks these eight questions before approving, and a reviewer asks them before a gate. Anything that isn't a yes is fixed before the report goes.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match the Register, the stakeholders file and the gate map?</w:t>
            </w:r>
          </w:p>
        </w:tc>
        <w:tc>
          <w:tcPr>
            <w:tcW w:type="dxa" w:w="5669"/>
          </w:tcPr>
          <w:p>
            <w:pPr>
              <w:spacing w:after="0"/>
            </w:pPr>
            <w:r>
              <w:rPr>
                <w:b w:val="0"/>
                <w:i w:val="0"/>
                <w:color w:val="0F1115"/>
                <w:sz w:val="21"/>
              </w:rPr>
              <w:t>Name, Sits under and Owner are the Register's, letter for letter, and Planned finish is the Register's date. Sponsor is the program row's, or Not yet named when that's blank. Reader is the stakeholders file's reader for this report. Every gate in Progress and Dates is one of the gate map's seven, and every other Dates row has the plan's name for it, letter for letter.</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The readings follow the rules. </w:t>
            </w:r>
            <w:r>
              <w:rPr>
                <w:b w:val="0"/>
                <w:i w:val="0"/>
                <w:color w:val="0F1115"/>
                <w:sz w:val="21"/>
              </w:rPr>
              <w:t>Is each reading what the rules give?</w:t>
            </w:r>
          </w:p>
        </w:tc>
        <w:tc>
          <w:tcPr>
            <w:tcW w:type="dxa" w:w="5669"/>
          </w:tcPr>
          <w:p>
            <w:pPr>
              <w:spacing w:after="0"/>
            </w:pPr>
            <w:r>
              <w:rPr>
                <w:b w:val="0"/>
                <w:i w:val="0"/>
                <w:color w:val="0F1115"/>
                <w:sz w:val="21"/>
              </w:rPr>
              <w:t>Date, Cost and Scope are what the rules in Before you start give from Money, Dates and Changes, read against Baselined as it stands. Each Reading in Dates follows the same rule. Overall is the worst of the three. Each Last week is what last week's report has under This week.</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The numbers add up. </w:t>
            </w:r>
            <w:r>
              <w:rPr>
                <w:b w:val="0"/>
                <w:i w:val="0"/>
                <w:color w:val="0F1115"/>
                <w:sz w:val="21"/>
              </w:rPr>
              <w:t>Do the figures and the day counts work out?</w:t>
            </w:r>
          </w:p>
        </w:tc>
        <w:tc>
          <w:tcPr>
            <w:tcW w:type="dxa" w:w="5669"/>
          </w:tcPr>
          <w:p>
            <w:pPr>
              <w:spacing w:after="0"/>
            </w:pPr>
            <w:r>
              <w:rPr>
                <w:b w:val="0"/>
                <w:i w:val="0"/>
                <w:color w:val="0F1115"/>
                <w:sz w:val="21"/>
              </w:rPr>
              <w:t>Share spent is Spent to date over the Share, as a whole percent, in both columns. Over the share is Forecast at completion minus the Share. Spent to date isn't below Last week, and each Last week figure is last week's report's. Each Working days late counts Monday to Friday from Baselined to Forecast. Every printed weekday matches its date.</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Nothing is left out. </w:t>
            </w:r>
            <w:r>
              <w:rPr>
                <w:b w:val="0"/>
                <w:i w:val="0"/>
                <w:color w:val="0F1115"/>
                <w:sz w:val="21"/>
              </w:rPr>
              <w:t>Is every late date, open change and picked RAID line in the report?</w:t>
            </w:r>
          </w:p>
        </w:tc>
        <w:tc>
          <w:tcPr>
            <w:tcW w:type="dxa" w:w="5669"/>
          </w:tcPr>
          <w:p>
            <w:pPr>
              <w:spacing w:after="0"/>
            </w:pPr>
            <w:r>
              <w:rPr>
                <w:b w:val="0"/>
                <w:i w:val="0"/>
                <w:color w:val="0F1115"/>
                <w:sz w:val="21"/>
              </w:rPr>
              <w:t>Every row of the plan whose Forecast is later than its Baselined date is in Dates with the same two dates, and every gate still ahead has a row. A late gate has a change in Changes. Every change raised or decided since last week, and every one still raised, is in Changes. Every open RAID line the rule in Before you start picks is in Risks and issues.</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Money stays with the share. </w:t>
            </w:r>
            <w:r>
              <w:rPr>
                <w:b w:val="0"/>
                <w:i w:val="0"/>
                <w:color w:val="0F1115"/>
                <w:sz w:val="21"/>
              </w:rPr>
              <w:t>Do the money figures count this project's cost lines only?</w:t>
            </w:r>
          </w:p>
        </w:tc>
        <w:tc>
          <w:tcPr>
            <w:tcW w:type="dxa" w:w="5669"/>
          </w:tcPr>
          <w:p>
            <w:pPr>
              <w:spacing w:after="0"/>
            </w:pPr>
            <w:r>
              <w:rPr>
                <w:b w:val="0"/>
                <w:i w:val="0"/>
                <w:color w:val="0F1115"/>
                <w:sz w:val="21"/>
              </w:rPr>
              <w:t>Spent to date, Forecast at completion and the Share count the charter's cost lines only, with nothing after cutover. Forecast given by and Spent given by each name one person and a day. Spent to date isn't above Forecast at completion.</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A person behind each colour. </w:t>
            </w:r>
            <w:r>
              <w:rPr>
                <w:b w:val="0"/>
                <w:i w:val="0"/>
                <w:color w:val="0F1115"/>
                <w:sz w:val="21"/>
              </w:rPr>
              <w:t>Does every Amber or Red line name the person who acts?</w:t>
            </w:r>
          </w:p>
        </w:tc>
        <w:tc>
          <w:tcPr>
            <w:tcW w:type="dxa" w:w="5669"/>
          </w:tcPr>
          <w:p>
            <w:pPr>
              <w:spacing w:after="0"/>
            </w:pPr>
            <w:r>
              <w:rPr>
                <w:b w:val="0"/>
                <w:i w:val="0"/>
                <w:color w:val="0F1115"/>
                <w:sz w:val="21"/>
              </w:rPr>
              <w:t>Every Amber or Red line of Date, Cost and Scope has a Why that names one person. Overall's Why names the line that sets it and the person who acts. When Forecast at completion is over the Share by more than the owner's limit, Cost's Why names who decides. Whether each Why is true is for a person to judge.</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Someone can decide. </w:t>
            </w:r>
            <w:r>
              <w:rPr>
                <w:b w:val="0"/>
                <w:i w:val="0"/>
                <w:color w:val="0F1115"/>
                <w:sz w:val="21"/>
              </w:rPr>
              <w:t>Does every decision needed have one person and a day?</w:t>
            </w:r>
          </w:p>
        </w:tc>
        <w:tc>
          <w:tcPr>
            <w:tcW w:type="dxa" w:w="5669"/>
          </w:tcPr>
          <w:p>
            <w:pPr>
              <w:spacing w:after="0"/>
            </w:pPr>
            <w:r>
              <w:rPr>
                <w:b w:val="0"/>
                <w:i w:val="0"/>
                <w:color w:val="0F1115"/>
                <w:sz w:val="21"/>
              </w:rPr>
              <w:t>Every Decisions needed row has one named person in From and a weekday in By. Every Risks and issues row is an open line in the RAID log, with the same Id, What and Owner.</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On the beat. </w:t>
            </w:r>
            <w:r>
              <w:rPr>
                <w:b w:val="0"/>
                <w:i w:val="0"/>
                <w:color w:val="0F1115"/>
                <w:sz w:val="21"/>
              </w:rPr>
              <w:t>Did this report go on time, to the right person?</w:t>
            </w:r>
          </w:p>
        </w:tc>
        <w:tc>
          <w:tcPr>
            <w:tcW w:type="dxa" w:w="5669"/>
          </w:tcPr>
          <w:p>
            <w:pPr>
              <w:spacing w:after="0"/>
            </w:pPr>
            <w:r>
              <w:rPr>
                <w:b w:val="0"/>
                <w:i w:val="0"/>
                <w:color w:val="0F1115"/>
                <w:sz w:val="21"/>
              </w:rPr>
              <w:t>Week ending is a Thursday, 7 days after the last numbered report's. Report is the last number plus 1, or Early, Red. Sent to is the Reader, and its Day is the Week ending or the next working day. An Early, Red report has a line reading Red and falls inside its own Thursday's week.</w:t>
            </w:r>
          </w:p>
        </w:tc>
      </w:tr>
    </w:tbl>
    <w:p>
      <w:pPr>
        <w:pStyle w:val="Heading1"/>
      </w:pPr>
      <w:r>
        <w:rPr>
          <w:b/>
          <w:i w:val="0"/>
          <w:color w:val="0F1115"/>
          <w:sz w:val="26"/>
        </w:rPr>
        <w:t>Before you start</w:t>
      </w:r>
    </w:p>
    <w:p>
      <w:pPr>
        <w:keepNext w:val="0"/>
        <w:spacing w:after="80" w:before="0"/>
      </w:pPr>
      <w:r>
        <w:rPr>
          <w:b w:val="0"/>
          <w:i w:val="0"/>
          <w:color w:val="0F1115"/>
          <w:sz w:val="21"/>
        </w:rPr>
        <w:t>A status report says where one project stands at the end of one week, for one reader. Each report covers the week to a Thursday, and goes out that day or the next working day.</w:t>
      </w:r>
    </w:p>
    <w:p>
      <w:pPr>
        <w:keepNext w:val="0"/>
        <w:spacing w:after="80" w:before="0"/>
      </w:pPr>
      <w:r>
        <w:rPr>
          <w:b w:val="0"/>
          <w:i w:val="0"/>
          <w:color w:val="5F6670"/>
          <w:sz w:val="21"/>
        </w:rPr>
        <w:t>Grey text is guidance. Type over it, and delete what's left once a section is filled in.</w:t>
      </w:r>
    </w:p>
    <w:p>
      <w:pPr>
        <w:keepNext w:val="0"/>
        <w:spacing w:after="80" w:before="0"/>
      </w:pPr>
      <w:r>
        <w:rPr>
          <w:b w:val="0"/>
          <w:i w:val="0"/>
          <w:color w:val="0F1115"/>
          <w:sz w:val="21"/>
        </w:rPr>
        <w:t>Name, Sits under and Owner are copied from the project's row on the Register, letter for letter, and Planned finish is the Register's date with its weekday. Sponsor is copied from the program's row, and Reader from the stakeholders file. Gate names are the gate map's seven, letter for letter.</w:t>
      </w:r>
    </w:p>
    <w:p>
      <w:pPr>
        <w:keepNext w:val="0"/>
        <w:spacing w:after="80" w:before="0"/>
      </w:pPr>
      <w:r>
        <w:rPr>
          <w:b w:val="0"/>
          <w:i w:val="0"/>
          <w:color w:val="0F1115"/>
          <w:sz w:val="21"/>
        </w:rPr>
        <w:t>Start from last week's report. Report goes up by 1 and Week ending by 7 days, and this week's readings and figures move to Last week.</w:t>
      </w:r>
    </w:p>
    <w:p>
      <w:pPr>
        <w:keepNext w:val="0"/>
        <w:spacing w:after="80" w:before="0"/>
      </w:pPr>
      <w:r>
        <w:rPr>
          <w:b w:val="0"/>
          <w:i w:val="0"/>
          <w:color w:val="0F1115"/>
          <w:sz w:val="21"/>
        </w:rPr>
        <w:t>Money is numbers only, in the charter's currency. The Share and the owner's limit come from the charter; Baselined cost and Forecast at completion from the plan. Spent to date comes from the finance export, for the charter's cost lines only, with nothing after cutover.</w:t>
      </w:r>
    </w:p>
    <w:p>
      <w:pPr>
        <w:keepNext w:val="0"/>
        <w:spacing w:after="80" w:before="0"/>
      </w:pPr>
      <w:r>
        <w:rPr>
          <w:b w:val="0"/>
          <w:i w:val="0"/>
          <w:color w:val="0F1115"/>
          <w:sz w:val="21"/>
        </w:rPr>
        <w:t>Dates has a row for each gate still ahead, and for any other row of the plan whose Forecast is later than its Baselined date, under the plan's name for it.</w:t>
      </w:r>
    </w:p>
    <w:p>
      <w:pPr>
        <w:keepNext w:val="0"/>
        <w:spacing w:after="80" w:before="0"/>
      </w:pPr>
      <w:r>
        <w:rPr>
          <w:b w:val="0"/>
          <w:i w:val="0"/>
          <w:color w:val="0F1115"/>
          <w:sz w:val="21"/>
        </w:rPr>
        <w:t>Changes lists each change raised or decided since last week's report, and every one still raised. A decided change shows once more under its CH number, with the dates it moved, then drops off.</w:t>
      </w:r>
    </w:p>
    <w:p>
      <w:pPr>
        <w:keepNext w:val="0"/>
        <w:spacing w:after="80" w:before="0"/>
      </w:pPr>
      <w:r>
        <w:rPr>
          <w:b w:val="0"/>
          <w:i w:val="0"/>
          <w:color w:val="0F1115"/>
          <w:sz w:val="21"/>
        </w:rPr>
        <w:t>Risks and issues copies Id, What, Owner and Response from the RAID log for each open line that has no response, no single named owner, a look-again date missing or passed, or nobody named to answer a dependency, and for each line Dates, Changes or Decisions needed names. Lines the log keeps on the program workbook aren't copied.</w:t>
      </w:r>
    </w:p>
    <w:p>
      <w:pPr>
        <w:keepNext w:val="0"/>
        <w:spacing w:after="80" w:before="0"/>
      </w:pPr>
      <w:r>
        <w:rPr>
          <w:b w:val="0"/>
          <w:i w:val="0"/>
          <w:color w:val="0F1115"/>
          <w:sz w:val="21"/>
        </w:rPr>
        <w:t>Decisions needed lists what someone else has to decide, or has to do before a decision can be made, with one person in From and a weekday in By. Coming up covers the next two weeks.</w:t>
      </w:r>
    </w:p>
    <w:p>
      <w:pPr>
        <w:keepNext w:val="0"/>
        <w:spacing w:after="80" w:before="0"/>
      </w:pPr>
      <w:r>
        <w:rPr>
          <w:b w:val="0"/>
          <w:i w:val="0"/>
          <w:color w:val="0F1115"/>
          <w:sz w:val="21"/>
        </w:rPr>
        <w:t>Write every person as Name (Role), one to a cell. A team, a board or a project never owns a line. A table with nothing in it reads None this week.</w:t>
      </w:r>
    </w:p>
    <w:p>
      <w:pPr>
        <w:keepNext w:val="0"/>
        <w:spacing w:after="80" w:before="0"/>
      </w:pPr>
      <w:r>
        <w:rPr>
          <w:b w:val="0"/>
          <w:i w:val="0"/>
          <w:color w:val="0F1115"/>
          <w:sz w:val="21"/>
        </w:rPr>
        <w:t>Before approving, check the report against the eight review questions after Approval.</w:t>
      </w:r>
    </w:p>
    <w:p>
      <w:pPr>
        <w:keepNext w:val="0"/>
        <w:spacing w:after="80" w:before="0"/>
      </w:pPr>
      <w:r>
        <w:rPr>
          <w:b w:val="0"/>
          <w:i w:val="0"/>
          <w:color w:val="0F1115"/>
          <w:sz w:val="21"/>
        </w:rPr>
        <w:t>Approval covers the report as sent. One person may prepare it and approve it. Once Sent to has a day, the report isn't changed: anything wrong is corrected in the next one.</w:t>
      </w:r>
    </w:p>
    <w:p>
      <w:pPr>
        <w:keepNext w:val="0"/>
        <w:spacing w:after="80" w:before="0"/>
      </w:pPr>
      <w:r>
        <w:rPr>
          <w:b w:val="0"/>
          <w:i w:val="0"/>
          <w:color w:val="0F1115"/>
          <w:sz w:val="21"/>
        </w:rPr>
        <w:t>The report ends at Approval. The pages after it are guidance: leave them out of the copy you send.</w:t>
      </w:r>
    </w:p>
    <w:p>
      <w:pPr>
        <w:keepNext w:val="0"/>
        <w:spacing w:after="80" w:before="0"/>
      </w:pPr>
      <w:r>
        <w:rPr>
          <w:b w:val="0"/>
          <w:i w:val="0"/>
          <w:color w:val="0F1115"/>
          <w:sz w:val="21"/>
        </w:rPr>
        <w:t>An assistant can check it for you. The brief is in frqz-status-report-agent-brief.txt, beside this file.</w:t>
      </w:r>
    </w:p>
    <w:p>
      <w:pPr>
        <w:keepNext w:val="0"/>
        <w:spacing w:after="80" w:before="0"/>
      </w:pPr>
      <w:r>
        <w:rPr>
          <w:b w:val="0"/>
          <w:i w:val="0"/>
          <w:color w:val="0F1115"/>
          <w:sz w:val="21"/>
        </w:rPr>
        <w:t>To use your own logo, right-click the FRQZ logo at the top right and choose Change Picture. In Google Docs, choose Replace image.</w:t>
      </w:r>
    </w:p>
    <w:p>
      <w:pPr>
        <w:pStyle w:val="Heading2"/>
      </w:pPr>
      <w:r>
        <w:rPr>
          <w:b/>
          <w:i w:val="0"/>
          <w:color w:val="0F1115"/>
          <w:sz w:val="22"/>
        </w:rPr>
        <w:t>Readings</w:t>
      </w:r>
    </w:p>
    <w:p>
      <w:pPr>
        <w:keepNext w:val="0"/>
        <w:spacing w:after="80" w:before="0"/>
      </w:pPr>
      <w:r>
        <w:rPr>
          <w:b w:val="0"/>
          <w:i w:val="0"/>
          <w:color w:val="0F1115"/>
          <w:sz w:val="21"/>
        </w:rPr>
        <w:t>Each reading is taken against the Baselined dates and cost as they stand, after approved changes. It is written as a word in its shaded cell: Green, Amber, Red, or Not read.</w:t>
      </w:r>
    </w:p>
    <w:p>
      <w:pPr>
        <w:keepNext w:val="0"/>
        <w:spacing w:after="80" w:before="0"/>
      </w:pPr>
      <w:r>
        <w:rPr>
          <w:b w:val="0"/>
          <w:i w:val="0"/>
          <w:color w:val="0F1115"/>
          <w:sz w:val="21"/>
        </w:rPr>
        <w:t xml:space="preserve">Date. Green when no gate or milestone of this project is forecast later than its Baselined date. Amber when one is, by up to </w:t>
      </w:r>
      <w:r>
        <w:rPr>
          <w:b w:val="0"/>
          <w:i w:val="0"/>
          <w:color w:val="5F6670"/>
          <w:sz w:val="21"/>
        </w:rPr>
        <w:t>[5]</w:t>
      </w:r>
      <w:r>
        <w:rPr>
          <w:b w:val="0"/>
          <w:i w:val="0"/>
          <w:color w:val="0F1115"/>
          <w:sz w:val="21"/>
        </w:rPr>
        <w:t xml:space="preserve"> working days. Red when one is later by more, or its Baselined date is before Week ending and it isn't done. A date another project provides is shown in Dates and doesn't colour Date.</w:t>
      </w:r>
    </w:p>
    <w:p>
      <w:pPr>
        <w:keepNext w:val="0"/>
        <w:spacing w:after="80" w:before="0"/>
      </w:pPr>
      <w:r>
        <w:rPr>
          <w:b w:val="0"/>
          <w:i w:val="0"/>
          <w:color w:val="0F1115"/>
          <w:sz w:val="21"/>
        </w:rPr>
        <w:t xml:space="preserve">Cost. Green when Forecast at completion is the Baselined cost or less. Amber when it's over by up to </w:t>
      </w:r>
      <w:r>
        <w:rPr>
          <w:b w:val="0"/>
          <w:i w:val="0"/>
          <w:color w:val="5F6670"/>
          <w:sz w:val="21"/>
        </w:rPr>
        <w:t>[10]</w:t>
      </w:r>
      <w:r>
        <w:rPr>
          <w:b w:val="0"/>
          <w:i w:val="0"/>
          <w:color w:val="0F1115"/>
          <w:sz w:val="21"/>
        </w:rPr>
        <w:t xml:space="preserve"> percent. Red when it's over by more.</w:t>
      </w:r>
    </w:p>
    <w:p>
      <w:pPr>
        <w:keepNext w:val="0"/>
        <w:spacing w:after="80" w:before="0"/>
      </w:pPr>
      <w:r>
        <w:rPr>
          <w:b w:val="0"/>
          <w:i w:val="0"/>
          <w:color w:val="0F1115"/>
          <w:sz w:val="21"/>
        </w:rPr>
        <w:t>Scope. Green while no change to scope is waiting for a decision. Amber while one is. Red when something was added or removed with no decision.</w:t>
      </w:r>
    </w:p>
    <w:p>
      <w:pPr>
        <w:keepNext w:val="0"/>
        <w:spacing w:after="80" w:before="0"/>
      </w:pPr>
      <w:r>
        <w:rPr>
          <w:b w:val="0"/>
          <w:i w:val="0"/>
          <w:color w:val="0F1115"/>
          <w:sz w:val="21"/>
        </w:rPr>
        <w:t>Overall is the worst of Date, Cost and Scope.</w:t>
      </w:r>
    </w:p>
    <w:p>
      <w:pPr>
        <w:keepNext w:val="0"/>
        <w:spacing w:after="80" w:before="0"/>
      </w:pPr>
      <w:r>
        <w:rPr>
          <w:b w:val="0"/>
          <w:i w:val="0"/>
          <w:color w:val="0F1115"/>
          <w:sz w:val="21"/>
        </w:rPr>
        <w:t xml:space="preserve">The owner's limit is how far the Owner may move a date, </w:t>
      </w:r>
      <w:r>
        <w:rPr>
          <w:b w:val="0"/>
          <w:i w:val="0"/>
          <w:color w:val="5F6670"/>
          <w:sz w:val="21"/>
        </w:rPr>
        <w:t>[5]</w:t>
      </w:r>
      <w:r>
        <w:rPr>
          <w:b w:val="0"/>
          <w:i w:val="0"/>
          <w:color w:val="0F1115"/>
          <w:sz w:val="21"/>
        </w:rPr>
        <w:t xml:space="preserve"> working days, or spend over the Share, </w:t>
      </w:r>
      <w:r>
        <w:rPr>
          <w:b w:val="0"/>
          <w:i w:val="0"/>
          <w:color w:val="5F6670"/>
          <w:sz w:val="21"/>
        </w:rPr>
        <w:t>[amount]</w:t>
      </w:r>
      <w:r>
        <w:rPr>
          <w:b w:val="0"/>
          <w:i w:val="0"/>
          <w:color w:val="0F1115"/>
          <w:sz w:val="21"/>
        </w:rPr>
        <w:t>, without asking anyone. Money prints it, and it colours nothing. When Forecast at completion is over the Share by more than it, Cost's Why names who decides.</w:t>
      </w:r>
    </w:p>
    <w:p>
      <w:pPr>
        <w:keepNext w:val="0"/>
        <w:spacing w:after="80" w:before="0"/>
      </w:pPr>
      <w:r>
        <w:rPr>
          <w:b w:val="0"/>
          <w:i w:val="0"/>
          <w:color w:val="0F1115"/>
          <w:sz w:val="21"/>
        </w:rPr>
        <w:t>Once a change is approved, Baselined becomes the approved date or cost, so a reading goes back to Green when the forecast meets it. Changes shows the change once under its CH number.</w:t>
      </w:r>
    </w:p>
    <w:p>
      <w:pPr>
        <w:keepNext w:val="0"/>
        <w:spacing w:after="80" w:before="0"/>
      </w:pPr>
      <w:r>
        <w:rPr>
          <w:b w:val="0"/>
          <w:i w:val="0"/>
          <w:color w:val="0F1115"/>
          <w:sz w:val="21"/>
        </w:rPr>
        <w:t>An Amber or Red line of Date, Cost or Scope has a Why that names the person who acts. Overall's Why names the line that sets it and that person.</w:t>
      </w:r>
    </w:p>
    <w:p>
      <w:pPr>
        <w:keepNext w:val="0"/>
        <w:spacing w:after="80" w:before="0"/>
      </w:pPr>
      <w:r>
        <w:rPr>
          <w:b w:val="0"/>
          <w:i w:val="0"/>
          <w:color w:val="0F1115"/>
          <w:sz w:val="21"/>
        </w:rPr>
        <w:t>A line that turns Red goes to the Reader that day, in a report marked Early, Red. It keeps its week's Thursday as Week ending and takes no number, and the next weekly report takes the number it would have had.</w:t>
      </w:r>
    </w:p>
    <w:p>
      <w:pPr>
        <w:keepNext w:val="0"/>
        <w:spacing w:after="80" w:before="0"/>
      </w:pPr>
      <w:r>
        <w:rPr>
          <w:b w:val="0"/>
          <w:i w:val="0"/>
          <w:color w:val="0F1115"/>
          <w:sz w:val="21"/>
        </w:rPr>
        <w:t>In FRQZ, Green reads On track.</w:t>
      </w:r>
    </w:p>
    <w:p>
      <w:pPr>
        <w:keepNext w:val="0"/>
        <w:spacing w:after="0" w:before="0"/>
      </w:pP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